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60"/>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6A6259CF">
      <w:pPr>
        <w:pStyle w:val="60"/>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31</w:t>
      </w:r>
      <w:r>
        <w:rPr>
          <w:rFonts w:ascii="Times New Roman" w:hAnsi="Times New Roman" w:cs="Times New Roman"/>
          <w:b/>
          <w:sz w:val="24"/>
          <w:szCs w:val="24"/>
        </w:rPr>
        <w:t>/2026</w:t>
      </w:r>
    </w:p>
    <w:p w14:paraId="3428A954">
      <w:pPr>
        <w:spacing w:line="288" w:lineRule="auto"/>
        <w:contextualSpacing/>
        <w:jc w:val="both"/>
        <w:rPr>
          <w:color w:val="405CA1"/>
          <w:sz w:val="24"/>
          <w:szCs w:val="24"/>
        </w:rPr>
      </w:pPr>
      <w:r>
        <w:rPr>
          <w:sz w:val="24"/>
          <w:szCs w:val="24"/>
        </w:rPr>
        <w:t xml:space="preserve">                                              </w:t>
      </w:r>
    </w:p>
    <w:p w14:paraId="475F701D">
      <w:pPr>
        <w:spacing w:line="288" w:lineRule="auto"/>
        <w:contextualSpacing/>
        <w:jc w:val="both"/>
        <w:rPr>
          <w:b/>
          <w:bCs/>
          <w:color w:val="405CA1"/>
          <w:sz w:val="24"/>
          <w:szCs w:val="24"/>
        </w:rPr>
      </w:pPr>
    </w:p>
    <w:p w14:paraId="335CDEA1">
      <w:pPr>
        <w:spacing w:line="288" w:lineRule="auto"/>
        <w:contextualSpacing/>
        <w:jc w:val="both"/>
        <w:rPr>
          <w:b/>
          <w:bCs/>
          <w:color w:val="405CA1"/>
          <w:sz w:val="24"/>
          <w:szCs w:val="24"/>
        </w:rPr>
      </w:pPr>
      <w:r>
        <w:rPr>
          <w:b/>
          <w:bCs/>
          <w:color w:val="405CA1"/>
          <w:sz w:val="24"/>
          <w:szCs w:val="24"/>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SAÚDE.</w:t>
      </w:r>
    </w:p>
    <w:p w14:paraId="0E519076">
      <w:pPr>
        <w:spacing w:line="288" w:lineRule="auto"/>
        <w:contextualSpacing/>
        <w:jc w:val="both"/>
        <w:rPr>
          <w:color w:val="FF0000"/>
          <w:sz w:val="24"/>
          <w:szCs w:val="24"/>
        </w:rPr>
      </w:pPr>
    </w:p>
    <w:p w14:paraId="27F33988">
      <w:pPr>
        <w:spacing w:line="288" w:lineRule="auto"/>
        <w:contextualSpacing/>
        <w:jc w:val="both"/>
        <w:rPr>
          <w:b/>
          <w:bCs/>
          <w:color w:val="5B5B5F"/>
          <w:sz w:val="24"/>
          <w:szCs w:val="24"/>
        </w:rPr>
      </w:pPr>
      <w:r>
        <w:rPr>
          <w:b/>
          <w:bCs/>
          <w:color w:val="405CA1"/>
          <w:sz w:val="24"/>
          <w:szCs w:val="24"/>
        </w:rPr>
        <w:t>OBJETO</w:t>
      </w:r>
    </w:p>
    <w:p w14:paraId="57E35E3C">
      <w:pPr>
        <w:spacing w:line="360" w:lineRule="auto"/>
        <w:jc w:val="both"/>
        <w:rPr>
          <w:rFonts w:eastAsia="SimSun"/>
          <w:sz w:val="24"/>
          <w:szCs w:val="24"/>
        </w:rPr>
      </w:pPr>
      <w:r>
        <w:rPr>
          <w:rFonts w:eastAsia="SimSun"/>
          <w:sz w:val="24"/>
          <w:szCs w:val="24"/>
        </w:rPr>
        <w:t>Aquisição de veículo para transporte da equipe multiprofissional do Serviço de Atendimento Domiciliar conforme estabelece seus critérios na portaria nº 825, de 25 de abril de 2016, destinada ao fortalecimento das ações e ao cuidado com o paciente. Proposta de Equipamento nº 11934211000125002.</w:t>
      </w:r>
    </w:p>
    <w:p w14:paraId="19626B20">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405CA1"/>
          <w:sz w:val="24"/>
          <w:szCs w:val="24"/>
        </w:rPr>
      </w:pPr>
      <w:r>
        <w:rPr>
          <w:b/>
          <w:bCs/>
          <w:color w:val="405CA1"/>
          <w:sz w:val="24"/>
          <w:szCs w:val="24"/>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rPr>
        <w:t>R$</w:t>
      </w:r>
      <w:r>
        <w:rPr>
          <w:b/>
          <w:bCs/>
          <w:color w:val="FF0000"/>
          <w:sz w:val="24"/>
          <w:szCs w:val="24"/>
        </w:rPr>
        <w:t xml:space="preserve"> </w:t>
      </w:r>
      <w:r>
        <w:rPr>
          <w:rFonts w:eastAsia="SimSun"/>
          <w:b/>
          <w:color w:val="000000"/>
          <w:sz w:val="24"/>
          <w:szCs w:val="24"/>
          <w:lang w:eastAsia="zh-CN" w:bidi="ar"/>
        </w:rPr>
        <w:t>97.000,00</w:t>
      </w:r>
      <w:r>
        <w:rPr>
          <w:rFonts w:eastAsia="SimSun"/>
          <w:color w:val="000000"/>
          <w:sz w:val="24"/>
          <w:szCs w:val="24"/>
          <w:lang w:eastAsia="zh-CN" w:bidi="ar"/>
        </w:rPr>
        <w:t xml:space="preserve"> </w:t>
      </w:r>
      <w:r>
        <w:rPr>
          <w:rFonts w:eastAsia="Cambria"/>
          <w:b/>
          <w:sz w:val="24"/>
          <w:szCs w:val="24"/>
        </w:rPr>
        <w:t>(noventa e sete mil reais).</w:t>
      </w:r>
    </w:p>
    <w:p w14:paraId="5C03EC30">
      <w:pPr>
        <w:spacing w:line="288" w:lineRule="auto"/>
        <w:contextualSpacing/>
        <w:jc w:val="both"/>
        <w:rPr>
          <w:color w:val="FF0000"/>
          <w:sz w:val="24"/>
          <w:szCs w:val="24"/>
        </w:rPr>
      </w:pPr>
    </w:p>
    <w:p w14:paraId="5249BEEB">
      <w:pPr>
        <w:spacing w:line="288" w:lineRule="auto"/>
        <w:contextualSpacing/>
        <w:jc w:val="both"/>
        <w:rPr>
          <w:b/>
          <w:bCs/>
          <w:color w:val="405CA1"/>
          <w:sz w:val="24"/>
          <w:szCs w:val="24"/>
        </w:rPr>
      </w:pPr>
      <w:r>
        <w:rPr>
          <w:b/>
          <w:bCs/>
          <w:color w:val="405CA1"/>
          <w:sz w:val="24"/>
          <w:szCs w:val="24"/>
        </w:rPr>
        <w:t>DATA DA SESSÃO PÚBLICA</w:t>
      </w:r>
    </w:p>
    <w:p w14:paraId="54E70EEA">
      <w:pPr>
        <w:spacing w:line="288" w:lineRule="auto"/>
        <w:contextualSpacing/>
        <w:jc w:val="both"/>
        <w:rPr>
          <w:b/>
          <w:bCs/>
          <w:color w:val="405CA1"/>
          <w:sz w:val="24"/>
          <w:szCs w:val="24"/>
        </w:rPr>
      </w:pPr>
    </w:p>
    <w:p w14:paraId="722E1782">
      <w:pPr>
        <w:spacing w:line="288" w:lineRule="auto"/>
        <w:contextualSpacing/>
        <w:jc w:val="both"/>
        <w:rPr>
          <w:b/>
          <w:bCs/>
          <w:i/>
          <w:iCs/>
          <w:color w:val="auto"/>
          <w:sz w:val="24"/>
          <w:szCs w:val="24"/>
        </w:rPr>
      </w:pPr>
      <w:r>
        <w:rPr>
          <w:b/>
          <w:bCs/>
          <w:i/>
          <w:iCs/>
          <w:color w:val="auto"/>
          <w:sz w:val="24"/>
          <w:szCs w:val="24"/>
        </w:rPr>
        <w:t xml:space="preserve">Dia </w:t>
      </w:r>
      <w:r>
        <w:rPr>
          <w:rFonts w:hint="default"/>
          <w:b/>
          <w:bCs/>
          <w:i/>
          <w:iCs/>
          <w:color w:val="auto"/>
          <w:sz w:val="24"/>
          <w:szCs w:val="24"/>
          <w:lang w:val="pt-BR"/>
        </w:rPr>
        <w:t>14</w:t>
      </w:r>
      <w:r>
        <w:rPr>
          <w:b/>
          <w:bCs/>
          <w:i/>
          <w:iCs/>
          <w:color w:val="auto"/>
          <w:sz w:val="24"/>
          <w:szCs w:val="24"/>
        </w:rPr>
        <w:t>/</w:t>
      </w:r>
      <w:r>
        <w:rPr>
          <w:rFonts w:hint="default"/>
          <w:b/>
          <w:bCs/>
          <w:i/>
          <w:iCs/>
          <w:color w:val="auto"/>
          <w:sz w:val="24"/>
          <w:szCs w:val="24"/>
          <w:lang w:val="pt-BR"/>
        </w:rPr>
        <w:t>05</w:t>
      </w:r>
      <w:r>
        <w:rPr>
          <w:b/>
          <w:bCs/>
          <w:i/>
          <w:iCs/>
          <w:color w:val="auto"/>
          <w:sz w:val="24"/>
          <w:szCs w:val="24"/>
        </w:rPr>
        <w:t xml:space="preserve">/2026 às </w:t>
      </w:r>
      <w:r>
        <w:rPr>
          <w:rFonts w:hint="default"/>
          <w:b/>
          <w:bCs/>
          <w:i/>
          <w:iCs/>
          <w:color w:val="auto"/>
          <w:sz w:val="24"/>
          <w:szCs w:val="24"/>
          <w:lang w:val="pt-BR"/>
        </w:rPr>
        <w:t>10</w:t>
      </w:r>
      <w:r>
        <w:rPr>
          <w:b/>
          <w:bCs/>
          <w:i/>
          <w:iCs/>
          <w:color w:val="auto"/>
          <w:sz w:val="24"/>
          <w:szCs w:val="24"/>
        </w:rPr>
        <w:t>h (horário de Brasília)</w:t>
      </w:r>
    </w:p>
    <w:p w14:paraId="6D48C3C5">
      <w:pPr>
        <w:spacing w:line="288" w:lineRule="auto"/>
        <w:contextualSpacing/>
        <w:jc w:val="both"/>
        <w:rPr>
          <w:color w:val="5B5B5F"/>
          <w:sz w:val="24"/>
          <w:szCs w:val="24"/>
        </w:rPr>
      </w:pPr>
    </w:p>
    <w:p w14:paraId="7E3F2FEA">
      <w:pPr>
        <w:spacing w:line="288" w:lineRule="auto"/>
        <w:contextualSpacing/>
        <w:jc w:val="both"/>
        <w:rPr>
          <w:caps/>
          <w:color w:val="0000FF"/>
          <w:sz w:val="24"/>
          <w:szCs w:val="24"/>
        </w:rPr>
      </w:pPr>
      <w:r>
        <w:rPr>
          <w:b/>
          <w:bCs/>
          <w:caps/>
          <w:color w:val="405CA1"/>
          <w:sz w:val="24"/>
          <w:szCs w:val="24"/>
        </w:rPr>
        <w:t>Critério de Julgamento:</w:t>
      </w:r>
    </w:p>
    <w:p w14:paraId="4C6FC00A">
      <w:pPr>
        <w:spacing w:line="288" w:lineRule="auto"/>
        <w:contextualSpacing/>
        <w:jc w:val="both"/>
        <w:rPr>
          <w:sz w:val="24"/>
          <w:szCs w:val="24"/>
        </w:rPr>
      </w:pPr>
      <w:r>
        <w:rPr>
          <w:sz w:val="24"/>
          <w:szCs w:val="24"/>
        </w:rPr>
        <w:t>MENOR PREÇO POR ITEM</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sz w:val="24"/>
          <w:szCs w:val="24"/>
        </w:rPr>
      </w:pPr>
      <w:r>
        <w:rPr>
          <w:b/>
          <w:bCs/>
          <w:caps/>
          <w:color w:val="405CA1"/>
          <w:sz w:val="24"/>
          <w:szCs w:val="24"/>
        </w:rPr>
        <w:t>Modo de disputa:</w:t>
      </w:r>
    </w:p>
    <w:p w14:paraId="5487AE73">
      <w:pPr>
        <w:spacing w:line="288" w:lineRule="auto"/>
        <w:contextualSpacing/>
        <w:jc w:val="both"/>
        <w:rPr>
          <w:sz w:val="24"/>
          <w:szCs w:val="24"/>
        </w:rPr>
      </w:pPr>
      <w:r>
        <w:rPr>
          <w:sz w:val="24"/>
          <w:szCs w:val="24"/>
        </w:rPr>
        <w:t>ABERTO E FECHADO</w:t>
      </w:r>
    </w:p>
    <w:p w14:paraId="743C44DF">
      <w:pPr>
        <w:pStyle w:val="96"/>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VALENÇA/RJ, PELA SECRETARIA MUNICIPAL DE SAÚDE.</w:t>
      </w:r>
    </w:p>
    <w:p w14:paraId="37B5584A">
      <w:pPr>
        <w:spacing w:before="288" w:beforeLines="120" w:after="288" w:afterLines="120" w:line="288" w:lineRule="auto"/>
        <w:ind w:firstLine="567"/>
        <w:contextualSpacing/>
        <w:jc w:val="center"/>
        <w:rPr>
          <w:b/>
          <w:color w:val="000000"/>
          <w:sz w:val="24"/>
          <w:szCs w:val="24"/>
        </w:rPr>
      </w:pPr>
    </w:p>
    <w:p w14:paraId="4308D923">
      <w:pPr>
        <w:spacing w:before="288" w:beforeLines="120" w:after="288" w:afterLines="120" w:line="288" w:lineRule="auto"/>
        <w:contextualSpacing/>
        <w:rPr>
          <w:b/>
          <w:color w:val="auto"/>
          <w:sz w:val="24"/>
          <w:szCs w:val="24"/>
        </w:rPr>
      </w:pPr>
      <w:r>
        <w:rPr>
          <w:b/>
          <w:color w:val="000000"/>
          <w:sz w:val="24"/>
          <w:szCs w:val="24"/>
        </w:rPr>
        <w:t xml:space="preserve">PREGÃO ELETRÔNICO Nº </w:t>
      </w:r>
      <w:r>
        <w:rPr>
          <w:b/>
          <w:color w:val="auto"/>
          <w:sz w:val="24"/>
          <w:szCs w:val="24"/>
        </w:rPr>
        <w:t>9</w:t>
      </w:r>
      <w:r>
        <w:rPr>
          <w:rFonts w:hint="default"/>
          <w:b/>
          <w:color w:val="auto"/>
          <w:sz w:val="24"/>
          <w:szCs w:val="24"/>
          <w:lang w:val="pt-BR"/>
        </w:rPr>
        <w:t>0031</w:t>
      </w:r>
      <w:r>
        <w:rPr>
          <w:b/>
          <w:color w:val="auto"/>
          <w:sz w:val="24"/>
          <w:szCs w:val="24"/>
        </w:rPr>
        <w:t>/2026</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SAÚDE</w:t>
      </w:r>
      <w:r>
        <w:rPr>
          <w:iCs/>
          <w:color w:val="000000"/>
          <w:sz w:val="24"/>
          <w:szCs w:val="24"/>
        </w:rPr>
        <w:t xml:space="preserve">, sediada Rua Dr. Figueiredo, n° 320, Centro, Valença, RJ, </w:t>
      </w:r>
      <w:r>
        <w:rPr>
          <w:color w:val="000000"/>
          <w:sz w:val="24"/>
          <w:szCs w:val="24"/>
        </w:rPr>
        <w:t xml:space="preserve">realizará licitação, na modalidade PREGÃO, na forma ELETRÔNICA, nos termos do processo nº VLC-020508/000395/2026, da </w:t>
      </w:r>
      <w:r>
        <w:fldChar w:fldCharType="begin"/>
      </w:r>
      <w:r>
        <w:instrText xml:space="preserve"> HYPERLINK "http://www.planalto.gov.br/ccivil_03/_ato2019-2022/2021/lei/L14133.htm" </w:instrText>
      </w:r>
      <w:r>
        <w:fldChar w:fldCharType="separate"/>
      </w:r>
      <w:r>
        <w:rPr>
          <w:rStyle w:val="16"/>
          <w:rFonts w:eastAsiaTheme="minorHAnsi"/>
          <w:sz w:val="24"/>
          <w:szCs w:val="24"/>
        </w:rPr>
        <w:t>Lei nº 14.133, de 1º de abril de 2021</w:t>
      </w:r>
      <w:r>
        <w:rPr>
          <w:rStyle w:val="16"/>
          <w:rFonts w:eastAsiaTheme="minorHAnsi"/>
          <w:sz w:val="24"/>
          <w:szCs w:val="24"/>
        </w:rPr>
        <w:fldChar w:fldCharType="end"/>
      </w:r>
      <w:r>
        <w:rPr>
          <w:sz w:val="24"/>
          <w:szCs w:val="24"/>
        </w:rPr>
        <w:t xml:space="preserve">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96"/>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96"/>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96"/>
        <w:spacing w:before="0" w:beforeAutospacing="0" w:after="0" w:afterAutospacing="0" w:line="288" w:lineRule="auto"/>
        <w:ind w:right="-1"/>
        <w:contextualSpacing/>
        <w:jc w:val="both"/>
        <w:rPr>
          <w:rFonts w:eastAsia="Calibri"/>
          <w:b/>
          <w:bCs/>
          <w:lang w:eastAsia="en-US"/>
        </w:rPr>
      </w:pPr>
    </w:p>
    <w:p w14:paraId="4808F22F">
      <w:pPr>
        <w:spacing w:line="360" w:lineRule="auto"/>
        <w:jc w:val="both"/>
        <w:rPr>
          <w:rFonts w:eastAsia="SimSun"/>
          <w:sz w:val="24"/>
          <w:szCs w:val="24"/>
        </w:rPr>
      </w:pPr>
      <w:r>
        <w:rPr>
          <w:rFonts w:eastAsia="Cambria"/>
          <w:sz w:val="24"/>
          <w:szCs w:val="24"/>
        </w:rPr>
        <w:t xml:space="preserve">1.1 </w:t>
      </w:r>
      <w:r>
        <w:rPr>
          <w:rFonts w:eastAsia="SimSun"/>
          <w:sz w:val="24"/>
          <w:szCs w:val="24"/>
        </w:rPr>
        <w:t>Aquisição de veículo para transporte da equipe multiprofissional do Serviço de Atendimento Domiciliar conforme estabelece seus critérios na portaria nº 825, de 25 de abril de 2016, destinada ao fortalecimento das ações e ao cuidado com o paciente. Proposta de Equipamento nº 11934211000125002.</w:t>
      </w:r>
    </w:p>
    <w:p w14:paraId="1A3FDB94">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de apenas um item, conforme tabela abaixo, facultando-se ao licitante a participação se for de seu interesse.</w:t>
      </w:r>
    </w:p>
    <w:p w14:paraId="65DDD798">
      <w:pPr>
        <w:pStyle w:val="98"/>
        <w:spacing w:before="288" w:beforeLines="120" w:after="288" w:afterLines="120" w:line="288" w:lineRule="auto"/>
        <w:ind w:left="0" w:firstLine="0"/>
        <w:contextualSpacing/>
        <w:rPr>
          <w:rFonts w:ascii="Times New Roman" w:hAnsi="Times New Roman" w:cs="Times New Roman"/>
          <w:color w:val="auto"/>
          <w:sz w:val="24"/>
          <w:szCs w:val="24"/>
        </w:rPr>
      </w:pPr>
    </w:p>
    <w:tbl>
      <w:tblPr>
        <w:tblStyle w:val="10"/>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3027"/>
        <w:gridCol w:w="876"/>
        <w:gridCol w:w="1219"/>
        <w:gridCol w:w="989"/>
        <w:gridCol w:w="1408"/>
      </w:tblGrid>
      <w:tr w14:paraId="3479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750" w:type="dxa"/>
            <w:shd w:val="clear" w:color="auto" w:fill="auto"/>
          </w:tcPr>
          <w:p w14:paraId="485780BE">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5FF2E24C">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03E05F52">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ITEM</w:t>
            </w:r>
          </w:p>
        </w:tc>
        <w:tc>
          <w:tcPr>
            <w:tcW w:w="3027" w:type="dxa"/>
            <w:shd w:val="clear" w:color="auto" w:fill="auto"/>
          </w:tcPr>
          <w:p w14:paraId="51B57ADF">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3A378BB0">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DESCRIÇÃO/</w:t>
            </w:r>
          </w:p>
          <w:p w14:paraId="7FF6AE22">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ESPECIFICAÇÃO</w:t>
            </w:r>
          </w:p>
        </w:tc>
        <w:tc>
          <w:tcPr>
            <w:tcW w:w="742" w:type="dxa"/>
            <w:shd w:val="clear" w:color="auto" w:fill="auto"/>
          </w:tcPr>
          <w:p w14:paraId="35834E54">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0960CFA6">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CÓD. ID SIGA</w:t>
            </w:r>
          </w:p>
        </w:tc>
        <w:tc>
          <w:tcPr>
            <w:tcW w:w="1219" w:type="dxa"/>
            <w:shd w:val="clear" w:color="auto" w:fill="auto"/>
          </w:tcPr>
          <w:p w14:paraId="620AD2B1">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5441C3C4">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UNIDADE DE MEDIDA</w:t>
            </w:r>
          </w:p>
        </w:tc>
        <w:tc>
          <w:tcPr>
            <w:tcW w:w="989" w:type="dxa"/>
            <w:shd w:val="clear" w:color="auto" w:fill="auto"/>
          </w:tcPr>
          <w:p w14:paraId="7A000C84">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6EED2DBE">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1C00D3BA">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QUANT.</w:t>
            </w:r>
          </w:p>
        </w:tc>
        <w:tc>
          <w:tcPr>
            <w:tcW w:w="1322" w:type="dxa"/>
            <w:shd w:val="clear" w:color="auto" w:fill="auto"/>
          </w:tcPr>
          <w:p w14:paraId="66C74A3B">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p>
          <w:p w14:paraId="0677941A">
            <w:pPr>
              <w:pStyle w:val="98"/>
              <w:spacing w:before="288" w:beforeLines="120" w:after="288" w:afterLines="120" w:line="288" w:lineRule="auto"/>
              <w:ind w:left="0" w:firstLine="0"/>
              <w:contextualSpacing/>
              <w:jc w:val="center"/>
              <w:rPr>
                <w:rFonts w:ascii="Times New Roman" w:hAnsi="Times New Roman" w:eastAsia="Calibri" w:cs="Times New Roman"/>
                <w:b/>
                <w:color w:val="auto"/>
              </w:rPr>
            </w:pPr>
            <w:r>
              <w:rPr>
                <w:rFonts w:ascii="Times New Roman" w:hAnsi="Times New Roman" w:eastAsia="Calibri" w:cs="Times New Roman"/>
                <w:b/>
                <w:color w:val="auto"/>
              </w:rPr>
              <w:t>PREÇO ESTIMADO</w:t>
            </w:r>
          </w:p>
        </w:tc>
      </w:tr>
      <w:tr w14:paraId="3EE6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2DB269A2">
            <w:pPr>
              <w:pStyle w:val="98"/>
              <w:spacing w:before="288" w:beforeLines="120" w:after="288" w:afterLines="120" w:line="288" w:lineRule="auto"/>
              <w:ind w:left="0" w:firstLine="0"/>
              <w:contextualSpacing/>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1</w:t>
            </w:r>
          </w:p>
        </w:tc>
        <w:tc>
          <w:tcPr>
            <w:tcW w:w="3027" w:type="dxa"/>
            <w:shd w:val="clear" w:color="auto" w:fill="auto"/>
          </w:tcPr>
          <w:p w14:paraId="203FC07F">
            <w:pPr>
              <w:jc w:val="both"/>
              <w:rPr>
                <w:sz w:val="22"/>
                <w:szCs w:val="22"/>
              </w:rPr>
            </w:pPr>
            <w:r>
              <w:rPr>
                <w:rFonts w:eastAsia="SimSun"/>
                <w:sz w:val="22"/>
                <w:szCs w:val="22"/>
              </w:rPr>
              <w:t xml:space="preserve"> </w:t>
            </w:r>
            <w:r>
              <w:rPr>
                <w:sz w:val="22"/>
                <w:szCs w:val="22"/>
              </w:rPr>
              <w:t xml:space="preserve">Veículo 0 (zero) km, com capacidade mínima de 05 (cinco) passageiros incluindo o motorista, ano modelo 2026, 04 (quatro) portas, na cor branca sólida no padrão de fábrica e de linha de produção, alarme antifurto, alto falantes dianteiros, apoio para cabeça dianteiro com regulagem de altura, ar-condicionado, câmbio manual com no mínimo 05 marchas, rádio AM/FM, travas elétricas, cinto de segurança dianteiro de 3 pontos, computador de bordo (com no mínimo informações do veículo, viagem e consumo), direção elétrica, estepe, motorização mínima 1,0 flex, dianteiro, com no mínimo 71CV (gasolina)/ 75CV (etanol), vidros elétricos no mínimo dianteiro, capacidade de porta malas de no mínimo 300 litros, distância mínima entre os eixos  de 2521MM, equipado com todos os acessórios exigidos pelo CONTRAN e legislações vigente: macaco, chave de rodas, triangulo etc. Todos os equipamentos devem ser de fábrica, tanto o veículo quanto demais acessórios devem apresentar garantia mínima de um ano a contar da entrega do mesmo. </w:t>
            </w:r>
          </w:p>
          <w:p w14:paraId="1AA10A31">
            <w:pPr>
              <w:jc w:val="both"/>
              <w:rPr>
                <w:rFonts w:eastAsia="SimSun"/>
                <w:sz w:val="22"/>
                <w:szCs w:val="22"/>
              </w:rPr>
            </w:pPr>
          </w:p>
          <w:p w14:paraId="2F10B8AB">
            <w:pPr>
              <w:jc w:val="both"/>
              <w:rPr>
                <w:rFonts w:eastAsia="SimSun"/>
                <w:sz w:val="22"/>
                <w:szCs w:val="22"/>
              </w:rPr>
            </w:pPr>
          </w:p>
          <w:p w14:paraId="308B3E33">
            <w:pPr>
              <w:pStyle w:val="98"/>
              <w:spacing w:before="288" w:beforeLines="120" w:after="288" w:afterLines="120" w:line="288" w:lineRule="auto"/>
              <w:ind w:left="0" w:firstLine="0"/>
              <w:contextualSpacing/>
              <w:jc w:val="center"/>
              <w:rPr>
                <w:rFonts w:ascii="Times New Roman" w:hAnsi="Times New Roman" w:eastAsia="Calibri" w:cs="Times New Roman"/>
                <w:color w:val="auto"/>
                <w:sz w:val="22"/>
                <w:szCs w:val="22"/>
              </w:rPr>
            </w:pPr>
          </w:p>
        </w:tc>
        <w:tc>
          <w:tcPr>
            <w:tcW w:w="742" w:type="dxa"/>
            <w:shd w:val="clear" w:color="auto" w:fill="auto"/>
          </w:tcPr>
          <w:p w14:paraId="68DDF5E7">
            <w:pPr>
              <w:pStyle w:val="98"/>
              <w:spacing w:before="288" w:beforeLines="120" w:after="288" w:afterLines="120" w:line="288" w:lineRule="auto"/>
              <w:ind w:left="0" w:firstLine="0"/>
              <w:contextualSpacing/>
              <w:jc w:val="center"/>
              <w:rPr>
                <w:rFonts w:ascii="Times New Roman" w:hAnsi="Times New Roman" w:eastAsia="Calibri" w:cs="Times New Roman"/>
                <w:color w:val="auto"/>
                <w:sz w:val="22"/>
                <w:szCs w:val="22"/>
              </w:rPr>
            </w:pPr>
            <w:r>
              <w:rPr>
                <w:rFonts w:ascii="Times New Roman" w:hAnsi="Times New Roman" w:eastAsia="SimSun" w:cs="Times New Roman"/>
                <w:color w:val="auto"/>
                <w:sz w:val="22"/>
                <w:szCs w:val="22"/>
                <w:lang w:eastAsia="zh-CN" w:bidi="ar"/>
              </w:rPr>
              <w:t>628952</w:t>
            </w:r>
          </w:p>
        </w:tc>
        <w:tc>
          <w:tcPr>
            <w:tcW w:w="1219" w:type="dxa"/>
            <w:shd w:val="clear" w:color="auto" w:fill="auto"/>
          </w:tcPr>
          <w:p w14:paraId="262F94C8">
            <w:pPr>
              <w:pStyle w:val="98"/>
              <w:spacing w:before="288" w:beforeLines="120" w:after="288" w:afterLines="120" w:line="288" w:lineRule="auto"/>
              <w:ind w:left="0" w:firstLine="0"/>
              <w:contextualSpacing/>
              <w:jc w:val="center"/>
              <w:rPr>
                <w:rFonts w:ascii="Times New Roman" w:hAnsi="Times New Roman" w:eastAsia="Calibri" w:cs="Times New Roman"/>
                <w:color w:val="auto"/>
                <w:sz w:val="22"/>
                <w:szCs w:val="22"/>
              </w:rPr>
            </w:pPr>
            <w:r>
              <w:rPr>
                <w:rFonts w:ascii="Times New Roman" w:hAnsi="Times New Roman" w:cs="Times New Roman"/>
                <w:color w:val="auto"/>
                <w:sz w:val="22"/>
                <w:szCs w:val="22"/>
              </w:rPr>
              <w:t>Unid</w:t>
            </w:r>
          </w:p>
        </w:tc>
        <w:tc>
          <w:tcPr>
            <w:tcW w:w="989" w:type="dxa"/>
            <w:shd w:val="clear" w:color="auto" w:fill="auto"/>
          </w:tcPr>
          <w:p w14:paraId="0A6B8BC9">
            <w:pPr>
              <w:pStyle w:val="98"/>
              <w:spacing w:before="288" w:beforeLines="120" w:after="288" w:afterLines="120" w:line="288" w:lineRule="auto"/>
              <w:ind w:left="0" w:firstLine="0"/>
              <w:contextualSpacing/>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01</w:t>
            </w:r>
          </w:p>
        </w:tc>
        <w:tc>
          <w:tcPr>
            <w:tcW w:w="1322" w:type="dxa"/>
            <w:shd w:val="clear" w:color="auto" w:fill="auto"/>
          </w:tcPr>
          <w:p w14:paraId="1CD5533A">
            <w:pPr>
              <w:pStyle w:val="98"/>
              <w:spacing w:before="288" w:beforeLines="120" w:after="288" w:afterLines="120" w:line="288" w:lineRule="auto"/>
              <w:ind w:left="0" w:firstLine="0"/>
              <w:contextualSpacing/>
              <w:jc w:val="center"/>
              <w:rPr>
                <w:rFonts w:ascii="Times New Roman" w:hAnsi="Times New Roman" w:eastAsia="Calibri" w:cs="Times New Roman"/>
                <w:color w:val="auto"/>
                <w:sz w:val="22"/>
                <w:szCs w:val="22"/>
              </w:rPr>
            </w:pPr>
            <w:r>
              <w:rPr>
                <w:rFonts w:ascii="Times New Roman" w:hAnsi="Times New Roman" w:cs="Times New Roman"/>
                <w:color w:val="auto"/>
                <w:sz w:val="22"/>
                <w:szCs w:val="22"/>
                <w:lang w:eastAsia="en-US"/>
              </w:rPr>
              <w:t xml:space="preserve">R$ </w:t>
            </w:r>
            <w:r>
              <w:rPr>
                <w:rFonts w:ascii="Times New Roman" w:hAnsi="Times New Roman" w:eastAsia="SimSun" w:cs="Times New Roman"/>
                <w:sz w:val="22"/>
                <w:szCs w:val="22"/>
                <w:lang w:eastAsia="zh-CN" w:bidi="ar"/>
              </w:rPr>
              <w:t>97.000,00</w:t>
            </w:r>
          </w:p>
        </w:tc>
      </w:tr>
    </w:tbl>
    <w:p w14:paraId="455A4532">
      <w:pPr>
        <w:pStyle w:val="98"/>
        <w:spacing w:before="288" w:beforeLines="120" w:after="288" w:afterLines="120" w:line="288" w:lineRule="auto"/>
        <w:ind w:left="0" w:firstLine="0"/>
        <w:contextualSpacing/>
        <w:rPr>
          <w:rFonts w:ascii="Times New Roman" w:hAnsi="Times New Roman" w:cs="Times New Roman"/>
          <w:sz w:val="24"/>
          <w:szCs w:val="24"/>
        </w:rPr>
      </w:pPr>
    </w:p>
    <w:p w14:paraId="62AF8865">
      <w:pPr>
        <w:pStyle w:val="98"/>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DA PARTICIPAÇÃO NA LICITAÇÃO</w:t>
      </w:r>
    </w:p>
    <w:p w14:paraId="03106655">
      <w:pPr>
        <w:pStyle w:val="102"/>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273283FA">
      <w:pPr>
        <w:pStyle w:val="102"/>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57FDD108">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2.1.1 Os interessados deverão atender às condições exigidas no cadastramento no SICAF até o terceiro dia útil anterior à data prevista para recebimento das propostas.</w:t>
      </w:r>
    </w:p>
    <w:p w14:paraId="3F490E20">
      <w:pPr>
        <w:pStyle w:val="102"/>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70AFC2E1">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2.1.2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21D4291A">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398B8E">
      <w:pPr>
        <w:pStyle w:val="98"/>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1ABC0DF">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2.3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512EF4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272161C">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2.4 A não observância do disposto no item anterior poderá ensejar desclassificação no momento da habilitação.</w:t>
      </w:r>
    </w:p>
    <w:p w14:paraId="4DC72D87">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D2A6975">
      <w:pPr>
        <w:pStyle w:val="98"/>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2.5 Será reservada cota de 25% (vinte e cinco por cento) para microempresas e empresas de pequeno porte, na forma do art. 48, III, da Lei Complementar n° 123/2006, e do art. 8º do Decreto n.º 42.063, de 06 de outubro de 2009.</w:t>
      </w:r>
    </w:p>
    <w:p w14:paraId="0F1CB068">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5AA845D8">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2.5.1 Na hipótese de não haver vencedor para a cota reservada, esta poderá ser adjudicada ao vencedor da cota principal ou, diante de sua recusa, aos licitantes remanescentes, desde que pratiquem o preço do primeiro colocado da cota principal.</w:t>
      </w:r>
    </w:p>
    <w:p w14:paraId="048C54ED">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A2B954">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2.5.2 Se a mesma empresa vencer a cota reservada e a cota principal, a contratação das cotas deverá ocorrer pelo menor preço.</w:t>
      </w:r>
    </w:p>
    <w:p w14:paraId="7BAC8BF3">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2581F193">
      <w:pPr>
        <w:pStyle w:val="98"/>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2.5.3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051D5778">
      <w:pPr>
        <w:pStyle w:val="98"/>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B13982">
      <w:pPr>
        <w:pStyle w:val="98"/>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2.6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16F822CB">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485B952B">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C768123">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694518D8">
      <w:pPr>
        <w:tabs>
          <w:tab w:val="left" w:pos="1440"/>
        </w:tabs>
        <w:autoSpaceDE w:val="0"/>
        <w:snapToGrid w:val="0"/>
        <w:spacing w:before="288" w:beforeLines="120" w:after="288" w:afterLines="120" w:line="288" w:lineRule="auto"/>
        <w:contextualSpacing/>
        <w:jc w:val="both"/>
        <w:rPr>
          <w:sz w:val="24"/>
          <w:szCs w:val="24"/>
        </w:rPr>
      </w:pPr>
      <w:r>
        <w:rPr>
          <w:sz w:val="24"/>
          <w:szCs w:val="24"/>
        </w:rPr>
        <w:t>2.6.2 Nas contratações com prazo de vigência superior a 1 (um) ano, será considerado o valor anual do contrato.</w:t>
      </w:r>
    </w:p>
    <w:p w14:paraId="1AD6FD7F">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2.7 Não poderão disputar esta licitação:</w:t>
      </w:r>
      <w:bookmarkEnd w:id="1"/>
    </w:p>
    <w:p w14:paraId="44C7C19C">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2.7.1 aquele que não atenda às condições deste Edital e seu(s) anexo(s);</w:t>
      </w:r>
    </w:p>
    <w:p w14:paraId="3E5B5AA9">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2.</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51B1C8D4">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2C725923">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2.7.3 autor do anteprojeto, do projeto básico ou do projeto executivo, pessoa física ou jurídica, quando a licitação versar sobre serviços ou fornecimento de bens a ele relacionados;</w:t>
      </w:r>
      <w:bookmarkEnd w:id="2"/>
      <w:bookmarkEnd w:id="4"/>
    </w:p>
    <w:p w14:paraId="39D271AD">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595FCB25">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4B01275A">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064F8A88">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8226EC">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001C0953">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2.7.6 empresas controladoras, controladas ou coligadas, nos termos da Lei nº 6.404, de 15 de dezembro de 1976, concorrendo entre si;</w:t>
      </w:r>
      <w:bookmarkEnd w:id="7"/>
    </w:p>
    <w:p w14:paraId="4E9E639B">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2D6022D4">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C24E7FF">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0EE4F855">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2.7.8 agente público do órgão ou entidade licitante, na qualidade de pessoa física ou de representante de pessoa jurídica;</w:t>
      </w:r>
      <w:bookmarkEnd w:id="8"/>
    </w:p>
    <w:p w14:paraId="01178E6E">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7FBFB240">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8264C77">
      <w:pPr>
        <w:pStyle w:val="102"/>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7050695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2.8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E60F09">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2FDBC3C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1CF29EA2">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22BC719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2.9.1 Equiparam-se aos autores do projeto as empresas integrantes do mesmo grupo econômico.</w:t>
      </w:r>
    </w:p>
    <w:p w14:paraId="325D6A72">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44C955A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AE8CBE0">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4FE23E2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576EF54">
      <w:pPr>
        <w:pStyle w:val="98"/>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2EC833D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179C680">
      <w:pPr>
        <w:pStyle w:val="98"/>
        <w:spacing w:before="288" w:beforeLines="120" w:after="288" w:afterLines="120" w:line="288" w:lineRule="auto"/>
        <w:ind w:left="0" w:firstLine="0"/>
        <w:contextualSpacing/>
        <w:rPr>
          <w:rFonts w:ascii="Times New Roman" w:hAnsi="Times New Roman" w:cs="Times New Roman"/>
          <w:sz w:val="24"/>
          <w:szCs w:val="24"/>
        </w:rPr>
      </w:pPr>
    </w:p>
    <w:p w14:paraId="47C0FEF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Será permitida a participação de pessoas jurídicas reunidas em consórcio, observadas as seguintes regras:</w:t>
      </w:r>
    </w:p>
    <w:p w14:paraId="5201CA67">
      <w:pPr>
        <w:pStyle w:val="98"/>
        <w:spacing w:before="288" w:beforeLines="120" w:after="288" w:afterLines="120" w:line="288" w:lineRule="auto"/>
        <w:ind w:left="0" w:firstLine="0"/>
        <w:contextualSpacing/>
        <w:rPr>
          <w:rFonts w:ascii="Times New Roman" w:hAnsi="Times New Roman" w:cs="Times New Roman"/>
          <w:sz w:val="24"/>
          <w:szCs w:val="24"/>
        </w:rPr>
      </w:pPr>
    </w:p>
    <w:p w14:paraId="29BEC39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6630A9F">
      <w:pPr>
        <w:tabs>
          <w:tab w:val="left" w:pos="1440"/>
        </w:tabs>
        <w:autoSpaceDE w:val="0"/>
        <w:snapToGrid w:val="0"/>
        <w:spacing w:before="288" w:beforeLines="120" w:after="288" w:afterLines="120" w:line="288" w:lineRule="auto"/>
        <w:contextualSpacing/>
        <w:jc w:val="both"/>
        <w:rPr>
          <w:sz w:val="24"/>
          <w:szCs w:val="24"/>
        </w:rPr>
      </w:pPr>
      <w:r>
        <w:rPr>
          <w:sz w:val="24"/>
          <w:szCs w:val="24"/>
        </w:rPr>
        <w:t>2.12.2 impedimento de a empresa consorciada participar, na mesma licitação, de mais de um consórcio ou de forma isolada;</w:t>
      </w:r>
    </w:p>
    <w:p w14:paraId="709B2C28">
      <w:pPr>
        <w:tabs>
          <w:tab w:val="left" w:pos="1440"/>
        </w:tabs>
        <w:autoSpaceDE w:val="0"/>
        <w:snapToGrid w:val="0"/>
        <w:spacing w:before="288" w:beforeLines="120" w:after="288" w:afterLines="120" w:line="288" w:lineRule="auto"/>
        <w:contextualSpacing/>
        <w:jc w:val="both"/>
        <w:rPr>
          <w:sz w:val="24"/>
          <w:szCs w:val="24"/>
        </w:rPr>
      </w:pPr>
    </w:p>
    <w:p w14:paraId="0BF9F5CB">
      <w:pPr>
        <w:tabs>
          <w:tab w:val="left" w:pos="1440"/>
        </w:tabs>
        <w:autoSpaceDE w:val="0"/>
        <w:snapToGrid w:val="0"/>
        <w:spacing w:before="288" w:beforeLines="120" w:after="288" w:afterLines="120" w:line="288" w:lineRule="auto"/>
        <w:contextualSpacing/>
        <w:jc w:val="both"/>
        <w:rPr>
          <w:sz w:val="24"/>
          <w:szCs w:val="24"/>
        </w:rPr>
      </w:pPr>
      <w:r>
        <w:rPr>
          <w:sz w:val="24"/>
          <w:szCs w:val="24"/>
        </w:rPr>
        <w:t>2.12.3 o consórcio vencedor, quando for o caso, ficará obrigado a promover a sua constituição e registro antes da celebração do Contrato, nos termos do compromisso firmado conforme item 3.12.1;</w:t>
      </w:r>
    </w:p>
    <w:p w14:paraId="0F571895">
      <w:pPr>
        <w:tabs>
          <w:tab w:val="left" w:pos="1440"/>
        </w:tabs>
        <w:autoSpaceDE w:val="0"/>
        <w:snapToGrid w:val="0"/>
        <w:spacing w:before="288" w:beforeLines="120" w:after="288" w:afterLines="120" w:line="288" w:lineRule="auto"/>
        <w:contextualSpacing/>
        <w:jc w:val="both"/>
        <w:rPr>
          <w:sz w:val="24"/>
          <w:szCs w:val="24"/>
        </w:rPr>
      </w:pPr>
    </w:p>
    <w:p w14:paraId="1B56C993">
      <w:pPr>
        <w:tabs>
          <w:tab w:val="left" w:pos="1440"/>
        </w:tabs>
        <w:autoSpaceDE w:val="0"/>
        <w:snapToGrid w:val="0"/>
        <w:spacing w:before="288" w:beforeLines="120" w:after="288" w:afterLines="120" w:line="288" w:lineRule="auto"/>
        <w:contextualSpacing/>
        <w:jc w:val="both"/>
        <w:rPr>
          <w:sz w:val="24"/>
          <w:szCs w:val="24"/>
        </w:rPr>
      </w:pPr>
      <w:r>
        <w:rPr>
          <w:sz w:val="24"/>
          <w:szCs w:val="24"/>
        </w:rPr>
        <w:t>2.12.4 as empresas consorciadas responderão solidariamente pelos atos praticados em consórcio, tanto na fase da licitação quanto na da execução do Contrato;</w:t>
      </w:r>
    </w:p>
    <w:p w14:paraId="6B7FBDC7">
      <w:pPr>
        <w:tabs>
          <w:tab w:val="left" w:pos="1440"/>
        </w:tabs>
        <w:autoSpaceDE w:val="0"/>
        <w:snapToGrid w:val="0"/>
        <w:spacing w:before="288" w:beforeLines="120" w:after="288" w:afterLines="120" w:line="288" w:lineRule="auto"/>
        <w:contextualSpacing/>
        <w:jc w:val="both"/>
        <w:rPr>
          <w:sz w:val="24"/>
          <w:szCs w:val="24"/>
        </w:rPr>
      </w:pPr>
    </w:p>
    <w:p w14:paraId="1EA07009">
      <w:pPr>
        <w:tabs>
          <w:tab w:val="left" w:pos="1440"/>
        </w:tabs>
        <w:autoSpaceDE w:val="0"/>
        <w:snapToGrid w:val="0"/>
        <w:spacing w:before="288" w:beforeLines="120" w:after="288" w:afterLines="120" w:line="288" w:lineRule="auto"/>
        <w:contextualSpacing/>
        <w:jc w:val="both"/>
        <w:rPr>
          <w:sz w:val="24"/>
          <w:szCs w:val="24"/>
        </w:rPr>
      </w:pPr>
      <w:r>
        <w:rPr>
          <w:sz w:val="24"/>
          <w:szCs w:val="24"/>
        </w:rPr>
        <w:t>2.12.5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BF6BCC0">
      <w:pPr>
        <w:pStyle w:val="96"/>
        <w:spacing w:before="0" w:beforeAutospacing="0" w:after="0" w:afterAutospacing="0" w:line="288" w:lineRule="auto"/>
        <w:contextualSpacing/>
        <w:jc w:val="both"/>
        <w:rPr>
          <w:rFonts w:eastAsia="Calibri"/>
          <w:b/>
          <w:bCs/>
          <w:lang w:eastAsia="en-US"/>
        </w:rPr>
      </w:pPr>
      <w:r>
        <w:rPr>
          <w:rFonts w:eastAsia="Calibri"/>
          <w:b/>
          <w:bCs/>
          <w:lang w:eastAsia="en-US"/>
        </w:rPr>
        <w:t>3. DAS DECLARAÇÕES E DA APRESENTAÇÃO DA PROPOSTA</w:t>
      </w:r>
    </w:p>
    <w:p w14:paraId="13B3BD10">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Na presente licitação, a fase de habilitação será realizada após as fases de apresentação de propostas e lances e de julgamento.</w:t>
      </w:r>
    </w:p>
    <w:p w14:paraId="7168C1D6">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5AE12354">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0A153FA3">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C36F5D4">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 No cadastramento da proposta inicial, o licitante declarará, em campo próprio do sistema, que:</w:t>
      </w:r>
      <w:bookmarkEnd w:id="15"/>
    </w:p>
    <w:p w14:paraId="1381A6E7">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6FEC9A25">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62E2806A">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6654FD4">
      <w:pPr>
        <w:pStyle w:val="102"/>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17B45262">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7BC92F52">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7029660E">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3.3.4 cumpre as exigências de reserva de cargos para pessoa com deficiência e para reabilitado da Previdência Social, previstas em lei e em outras normas específicas;</w:t>
      </w:r>
    </w:p>
    <w:p w14:paraId="7F3D1E4B">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66C02326">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3.3.5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411450A">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55928179">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707DEE13">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2A23370E">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2403DA25">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42D490E9">
      <w:pPr>
        <w:pStyle w:val="102"/>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3.5.1 no item exclusivo para participação de microempresas e empresas de pequeno porte, a ausência de declaração na forma do item anterior impedirá o prosseguimento no certame, para aquele item;</w:t>
      </w:r>
    </w:p>
    <w:p w14:paraId="6FC821D1">
      <w:pPr>
        <w:pStyle w:val="102"/>
        <w:spacing w:before="288" w:beforeLines="120" w:after="288" w:afterLines="120" w:line="288" w:lineRule="auto"/>
        <w:ind w:left="0" w:firstLine="0"/>
        <w:contextualSpacing/>
        <w:rPr>
          <w:rFonts w:ascii="Times New Roman" w:hAnsi="Times New Roman" w:cs="Times New Roman"/>
          <w:sz w:val="24"/>
          <w:szCs w:val="24"/>
        </w:rPr>
      </w:pPr>
    </w:p>
    <w:p w14:paraId="6BC653B2">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3285CEC6">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25A4630">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C438B7B">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64AEB09">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3327B421">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 Não haverá ordem de classificação na etapa de apresentação da proposta e das declarações pelo licitante, o que ocorrerá somente após os procedimentos de abertura da sessão pública e da fase de envio de lances.</w:t>
      </w:r>
    </w:p>
    <w:p w14:paraId="15361335">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568B9B17">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3.9 Após a fase de envio de lances, serão disponibilizados para acesso público os documentos que compõem a proposta dos licitantes convocados para apresentação de propostas.</w:t>
      </w:r>
    </w:p>
    <w:p w14:paraId="44C99C18">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5761D4A">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F4E47D2">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9261603">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 licitante deverá comunicar imediatamente ao provedor do sistema qualquer acontecimento que possa comprometer o sigilo ou a segurança, para imediato bloqueio de acesso.</w:t>
      </w:r>
    </w:p>
    <w:p w14:paraId="652738F2">
      <w:pPr>
        <w:pStyle w:val="98"/>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2CC07D2C">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3.12 Desde que disponibilizada a funcionalidade no sistema, o licitante poderá parametrizar o seu valor final mínimo ou o seu percentual de desconto máximo quando do cadastramento da proposta e obedecerá às seguintes regras:</w:t>
      </w:r>
    </w:p>
    <w:p w14:paraId="6F8ED1FB">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3.12.1 a aplicação do intervalo mínimo de diferença de valores ou de percentuais entre os lances, conforme disposto no item 6.8, que incidirá tanto em relação aos lances intermediários quanto em relação ao lance que cobrir a melhor oferta;  </w:t>
      </w:r>
    </w:p>
    <w:p w14:paraId="551A7195">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p>
    <w:p w14:paraId="72845471">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3.12.2 os lances serão de envio automático pelo sistema, respeitado o valor final mínimo, caso estabelecido, e o intervalo de que trata o subitem acima.</w:t>
      </w:r>
    </w:p>
    <w:p w14:paraId="59A861CB">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3.13 O valor final mínimo ou o percentual de desconto final máximo parametrizado no sistema poderá ser alterado pelo fornecedor durante a fase de disputa, sendo vedado:</w:t>
      </w:r>
    </w:p>
    <w:p w14:paraId="2BBC9492">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3.13.1 valor superior a lance já registrado pelo fornecedor no sistema, quando adotado o critério de julgamento por menor preço; e</w:t>
      </w:r>
    </w:p>
    <w:p w14:paraId="7C9C671F">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p>
    <w:p w14:paraId="172D1869">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3.13.2 percentual de desconto inferior a lance já registrado pelo fornecedor no sistema, quando adotado o critério de julgamento por maior desconto.</w:t>
      </w:r>
    </w:p>
    <w:p w14:paraId="380E2945">
      <w:pPr>
        <w:pStyle w:val="98"/>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3.14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2520D97">
      <w:pPr>
        <w:pStyle w:val="96"/>
        <w:spacing w:before="0" w:beforeAutospacing="0" w:after="0" w:afterAutospacing="0" w:line="288" w:lineRule="auto"/>
        <w:contextualSpacing/>
        <w:jc w:val="both"/>
        <w:rPr>
          <w:rFonts w:eastAsia="Calibri"/>
          <w:b/>
          <w:bCs/>
          <w:lang w:eastAsia="en-US"/>
        </w:rPr>
      </w:pPr>
      <w:r>
        <w:rPr>
          <w:rFonts w:eastAsia="Calibri"/>
          <w:b/>
          <w:bCs/>
          <w:lang w:eastAsia="en-US"/>
        </w:rPr>
        <w:t>4. DO PREENCHIMENTO DA PROPOSTA</w:t>
      </w:r>
    </w:p>
    <w:p w14:paraId="70E0254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4.1 O licitante deverá enviar sua proposta mediante o preenchimento, no sistema eletrônico, dos seguintes campos:</w:t>
      </w:r>
    </w:p>
    <w:p w14:paraId="62041E2A">
      <w:pPr>
        <w:pStyle w:val="102"/>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4.1.1 Valor unitário do item;</w:t>
      </w:r>
    </w:p>
    <w:p w14:paraId="530622C6">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2D70E6E3">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4.1.2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5F566DF3">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11C4FB2A">
      <w:pPr>
        <w:pStyle w:val="102"/>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4.1.3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4CE445B6">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C532D95">
      <w:pPr>
        <w:pStyle w:val="102"/>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4.1.4 Quantidade cotada, que não poderá ser inferior ao quantitativo máximo de cada item que poderá ser adquirido.</w:t>
      </w:r>
    </w:p>
    <w:p w14:paraId="4E089E7F">
      <w:pPr>
        <w:pStyle w:val="98"/>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 Todas as especificações do objeto contidas na proposta vinculam o licitante.</w:t>
      </w:r>
    </w:p>
    <w:p w14:paraId="3BB5413C">
      <w:pPr>
        <w:pStyle w:val="102"/>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4.2.1 O licitante não poderá oferecer proposta em quantitativo inferior ao máximo previsto para contratação.</w:t>
      </w:r>
    </w:p>
    <w:p w14:paraId="33945F22">
      <w:pPr>
        <w:pStyle w:val="102"/>
        <w:spacing w:line="288" w:lineRule="auto"/>
        <w:ind w:left="0" w:firstLine="0"/>
        <w:contextualSpacing/>
        <w:rPr>
          <w:rFonts w:ascii="Times New Roman" w:hAnsi="Times New Roman" w:cs="Times New Roman"/>
          <w:color w:val="auto"/>
          <w:sz w:val="24"/>
          <w:szCs w:val="24"/>
        </w:rPr>
      </w:pPr>
    </w:p>
    <w:p w14:paraId="5E126800">
      <w:pPr>
        <w:pStyle w:val="10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Nos valores propostos estarão inclusos todos os custos operacionais, encargos previdenciários, trabalhistas, tributários, comerciais e quaisquer outros que incidam direta ou indiretamente na execução do objeto.</w:t>
      </w:r>
    </w:p>
    <w:p w14:paraId="032CC13D">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4.4 Os preços ofertados, tanto na proposta inicial, quanto na etapa de lances, serão de exclusiva responsabilidade do licitante, não lhe assistindo o direito de pleitear qualquer alteração, sob alegação de erro, omissão ou qualquer outro pretexto.</w:t>
      </w:r>
    </w:p>
    <w:p w14:paraId="66FDF09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3703A9E0">
      <w:pPr>
        <w:pStyle w:val="98"/>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4.5 Se o regime tributário da empresa implicar o recolhimento de tributos em percentuais variáveis, a cotação adequada será a que corresponde à média dos efetivos recolhimentos da empresa nos últimos doze meses. </w:t>
      </w:r>
    </w:p>
    <w:p w14:paraId="2298B8C3">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57F4E821">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4.6 Independentemente do percentual de tributo inserido na planilha, no pagamento serão retidos na fonte os percentuais estabelecidos na legislação vigente.</w:t>
      </w:r>
    </w:p>
    <w:p w14:paraId="697A2B47">
      <w:pPr>
        <w:pStyle w:val="98"/>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0EDB3536">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0A951A1C">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5174E36">
      <w:pPr>
        <w:pStyle w:val="98"/>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4.8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3A201D4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D0FCDFC">
      <w:pPr>
        <w:pStyle w:val="98"/>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4.9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25E284B">
      <w:pPr>
        <w:pStyle w:val="98"/>
        <w:spacing w:before="288" w:beforeLines="120" w:after="288" w:afterLines="120" w:line="288" w:lineRule="auto"/>
        <w:ind w:left="0" w:firstLine="0"/>
        <w:contextualSpacing/>
        <w:rPr>
          <w:rFonts w:ascii="Times New Roman" w:hAnsi="Times New Roman" w:cs="Times New Roman"/>
          <w:sz w:val="24"/>
          <w:szCs w:val="24"/>
        </w:rPr>
      </w:pPr>
    </w:p>
    <w:p w14:paraId="513CA6E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1EDAD337">
      <w:pPr>
        <w:pStyle w:val="98"/>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4BE5B7C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4.11 Os licitantes devem respeitar os preços máximos estabelecidos no Anexo deste Edital referente ao orçamento estimado (art. 59, III, da Lei nº 14.133/2021).</w:t>
      </w:r>
    </w:p>
    <w:p w14:paraId="46C81C1E">
      <w:pPr>
        <w:pStyle w:val="98"/>
        <w:spacing w:before="288" w:beforeLines="120" w:after="288" w:afterLines="120" w:line="288" w:lineRule="auto"/>
        <w:ind w:left="0" w:firstLine="0"/>
        <w:contextualSpacing/>
        <w:rPr>
          <w:rFonts w:ascii="Times New Roman" w:hAnsi="Times New Roman" w:cs="Times New Roman"/>
          <w:sz w:val="24"/>
          <w:szCs w:val="24"/>
        </w:rPr>
      </w:pPr>
    </w:p>
    <w:p w14:paraId="05EB880A">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7CE92A4">
      <w:pPr>
        <w:pStyle w:val="96"/>
        <w:spacing w:before="0" w:beforeAutospacing="0" w:after="0" w:afterAutospacing="0" w:line="288" w:lineRule="auto"/>
        <w:contextualSpacing/>
        <w:jc w:val="both"/>
        <w:rPr>
          <w:rFonts w:eastAsia="Calibri"/>
          <w:b/>
          <w:bCs/>
          <w:lang w:eastAsia="en-US"/>
        </w:rPr>
      </w:pPr>
      <w:r>
        <w:rPr>
          <w:rFonts w:eastAsia="Calibri"/>
          <w:b/>
          <w:bCs/>
          <w:lang w:eastAsia="en-US"/>
        </w:rPr>
        <w:t>5. DA ABERTURA DA SESSÃO, CLASSIFICAÇÃO DAS PROPOSTAS E FORMULAÇÃO DE LANCES</w:t>
      </w:r>
    </w:p>
    <w:p w14:paraId="0ADC8176">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A abertura da presente licitação dar-se-á em sessão pública, por meio de sistema eletrônico, na data, horário e local indicados neste Edital.</w:t>
      </w:r>
    </w:p>
    <w:p w14:paraId="485F4437">
      <w:pPr>
        <w:pStyle w:val="98"/>
        <w:spacing w:before="288" w:beforeLines="120" w:after="288" w:afterLines="120" w:line="288" w:lineRule="auto"/>
        <w:ind w:left="0" w:firstLine="0"/>
        <w:contextualSpacing/>
        <w:rPr>
          <w:rFonts w:ascii="Times New Roman" w:hAnsi="Times New Roman" w:cs="Times New Roman"/>
          <w:sz w:val="24"/>
          <w:szCs w:val="24"/>
        </w:rPr>
      </w:pPr>
    </w:p>
    <w:p w14:paraId="09C8BC3D">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74EA23DC">
      <w:pPr>
        <w:pStyle w:val="98"/>
        <w:spacing w:before="288" w:beforeLines="120" w:after="288" w:afterLines="120" w:line="288" w:lineRule="auto"/>
        <w:ind w:left="0" w:firstLine="0"/>
        <w:contextualSpacing/>
        <w:rPr>
          <w:rFonts w:ascii="Times New Roman" w:hAnsi="Times New Roman" w:cs="Times New Roman"/>
          <w:sz w:val="24"/>
          <w:szCs w:val="24"/>
        </w:rPr>
      </w:pPr>
    </w:p>
    <w:p w14:paraId="556E957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5.3 O sistema disponibilizará campo próprio para troca de mensagens entre o Pregoeiro e os licitantes.</w:t>
      </w:r>
    </w:p>
    <w:p w14:paraId="0E6A1C9B">
      <w:pPr>
        <w:pStyle w:val="98"/>
        <w:spacing w:before="288" w:beforeLines="120" w:after="288" w:afterLines="120" w:line="288" w:lineRule="auto"/>
        <w:ind w:left="0" w:firstLine="0"/>
        <w:contextualSpacing/>
        <w:rPr>
          <w:rFonts w:ascii="Times New Roman" w:hAnsi="Times New Roman" w:cs="Times New Roman"/>
          <w:sz w:val="24"/>
          <w:szCs w:val="24"/>
        </w:rPr>
      </w:pPr>
    </w:p>
    <w:p w14:paraId="17D8164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5.4 Iniciada a etapa competitiva, os licitantes deverão encaminhar lances exclusivamente por meio de sistema eletrônico, sendo imediatamente informados do seu recebimento e do valor consignado no registro. </w:t>
      </w:r>
    </w:p>
    <w:p w14:paraId="57DAEBC5">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0493BFD5">
      <w:pPr>
        <w:pStyle w:val="98"/>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5.5 O lance deverá ser ofertado pelo valor unitário do item.</w:t>
      </w:r>
    </w:p>
    <w:p w14:paraId="33330AFF">
      <w:pPr>
        <w:pStyle w:val="98"/>
        <w:spacing w:before="288" w:beforeLines="120" w:after="288" w:afterLines="120" w:line="288" w:lineRule="auto"/>
        <w:ind w:left="0" w:firstLine="0"/>
        <w:contextualSpacing/>
        <w:rPr>
          <w:rFonts w:ascii="Times New Roman" w:hAnsi="Times New Roman" w:cs="Times New Roman"/>
          <w:sz w:val="24"/>
          <w:szCs w:val="24"/>
        </w:rPr>
      </w:pPr>
    </w:p>
    <w:p w14:paraId="4839B07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5.6 Os licitantes poderão oferecer lances sucessivos, observando o horário fixado para abertura da sessão e as regras estabelecidas no Edital.</w:t>
      </w:r>
    </w:p>
    <w:p w14:paraId="6833277B">
      <w:pPr>
        <w:pStyle w:val="98"/>
        <w:spacing w:before="288" w:beforeLines="120" w:after="288" w:afterLines="120" w:line="288" w:lineRule="auto"/>
        <w:ind w:left="0" w:firstLine="0"/>
        <w:contextualSpacing/>
        <w:rPr>
          <w:rFonts w:ascii="Times New Roman" w:hAnsi="Times New Roman" w:cs="Times New Roman"/>
          <w:sz w:val="24"/>
          <w:szCs w:val="24"/>
        </w:rPr>
      </w:pPr>
    </w:p>
    <w:p w14:paraId="0D7E959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4C3E9282">
      <w:pPr>
        <w:pStyle w:val="98"/>
        <w:spacing w:before="288" w:beforeLines="120" w:after="288" w:afterLines="120" w:line="288" w:lineRule="auto"/>
        <w:ind w:left="0" w:firstLine="0"/>
        <w:contextualSpacing/>
        <w:rPr>
          <w:rFonts w:ascii="Times New Roman" w:hAnsi="Times New Roman" w:cs="Times New Roman"/>
          <w:sz w:val="24"/>
          <w:szCs w:val="24"/>
        </w:rPr>
      </w:pPr>
    </w:p>
    <w:p w14:paraId="1787635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3FFAB97A">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10AA51FE">
      <w:pPr>
        <w:pStyle w:val="98"/>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5.9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71183A7D">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4988B69C">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5.9.1 O licitante poderá, uma única vez, excluir seu último lance ofertado, no intervalo de quinze segundos após o registro no sistema, na hipótese de lance inconsistente ou inexequível.</w:t>
      </w:r>
    </w:p>
    <w:p w14:paraId="1CD2596A">
      <w:pPr>
        <w:pStyle w:val="98"/>
        <w:spacing w:before="288" w:beforeLines="120" w:after="288" w:afterLines="120" w:line="288" w:lineRule="auto"/>
        <w:ind w:left="567" w:right="565" w:firstLine="0"/>
        <w:contextualSpacing/>
        <w:rPr>
          <w:rFonts w:ascii="Times New Roman" w:hAnsi="Times New Roman" w:cs="Times New Roman"/>
          <w:sz w:val="24"/>
          <w:szCs w:val="24"/>
        </w:rPr>
      </w:pPr>
    </w:p>
    <w:p w14:paraId="4CBCE9B6">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5.10 O procedimento seguirá de acordo com o modo de disputa adotado.</w:t>
      </w:r>
    </w:p>
    <w:p w14:paraId="065EB96C">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5.11 O envio de lances no pregão eletrônico se dará pelo modo de disputa “aberto e fechado”, devendo os licitantes apresentar lances públicos e sucessivos, com lance final e fechado.</w:t>
      </w:r>
    </w:p>
    <w:p w14:paraId="7AFC1097">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3155F13">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5ED3D3C">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52FEC4">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004621F">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3350C96">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5.11.3 No procedimento de que trata o subitem supra, o licitante poderá optar por manter o seu último lance da etapa aberta, ou por ofertar melhor lance.</w:t>
      </w:r>
    </w:p>
    <w:p w14:paraId="3530C1B7">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A84608C">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378B73F">
      <w:pPr>
        <w:pStyle w:val="119"/>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91AC44E">
      <w:pPr>
        <w:pStyle w:val="119"/>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5.11.5 Após o término dos prazos estabelecidos nos itens anteriores, o sistema ordenará e divulgará os lances segundo a ordem crescente de valores.</w:t>
      </w:r>
    </w:p>
    <w:p w14:paraId="52E9A4B3">
      <w:pPr>
        <w:pStyle w:val="119"/>
        <w:spacing w:line="288" w:lineRule="auto"/>
        <w:ind w:left="567" w:right="565"/>
        <w:contextualSpacing/>
        <w:rPr>
          <w:rFonts w:ascii="Times New Roman" w:hAnsi="Times New Roman" w:cs="Times New Roman"/>
          <w:color w:val="FF0000"/>
          <w:sz w:val="24"/>
          <w:szCs w:val="24"/>
        </w:rPr>
      </w:pPr>
    </w:p>
    <w:bookmarkEnd w:id="24"/>
    <w:p w14:paraId="686041FD">
      <w:pPr>
        <w:pStyle w:val="119"/>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5.12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4FD0746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5.13 Não serão aceitos dois ou mais lances de mesmo valor, prevalecendo aquele que for recebido e registrado em primeiro lugar. </w:t>
      </w:r>
    </w:p>
    <w:p w14:paraId="0B0D958B">
      <w:pPr>
        <w:pStyle w:val="98"/>
        <w:spacing w:before="288" w:beforeLines="120" w:after="288" w:afterLines="120" w:line="288" w:lineRule="auto"/>
        <w:ind w:left="0" w:firstLine="0"/>
        <w:contextualSpacing/>
        <w:rPr>
          <w:rFonts w:ascii="Times New Roman" w:hAnsi="Times New Roman" w:cs="Times New Roman"/>
          <w:sz w:val="24"/>
          <w:szCs w:val="24"/>
        </w:rPr>
      </w:pPr>
    </w:p>
    <w:p w14:paraId="232EA2FB">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5.14 Durante o transcurso da sessão pública, os licitantes serão informados, em tempo real, do valor do menor lance registrado, vedada a identificação do licitante. </w:t>
      </w:r>
    </w:p>
    <w:p w14:paraId="4F2F3479">
      <w:pPr>
        <w:pStyle w:val="98"/>
        <w:spacing w:before="288" w:beforeLines="120" w:after="288" w:afterLines="120" w:line="288" w:lineRule="auto"/>
        <w:ind w:left="0" w:firstLine="0"/>
        <w:contextualSpacing/>
        <w:rPr>
          <w:rFonts w:ascii="Times New Roman" w:hAnsi="Times New Roman" w:cs="Times New Roman"/>
          <w:sz w:val="24"/>
          <w:szCs w:val="24"/>
        </w:rPr>
      </w:pPr>
    </w:p>
    <w:p w14:paraId="60FCF61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5.15 No caso de desconexão com o Pregoeiro, no decorrer da etapa competitiva do Pregão, o sistema eletrônico poderá permanecer acessível aos licitantes para a recepção dos lances. </w:t>
      </w:r>
    </w:p>
    <w:p w14:paraId="637B003E">
      <w:pPr>
        <w:pStyle w:val="98"/>
        <w:spacing w:before="288" w:beforeLines="120" w:after="288" w:afterLines="120" w:line="288" w:lineRule="auto"/>
        <w:ind w:left="0" w:firstLine="0"/>
        <w:contextualSpacing/>
        <w:rPr>
          <w:rFonts w:ascii="Times New Roman" w:hAnsi="Times New Roman" w:cs="Times New Roman"/>
          <w:sz w:val="24"/>
          <w:szCs w:val="24"/>
        </w:rPr>
      </w:pPr>
    </w:p>
    <w:p w14:paraId="00C5237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25EE5703">
      <w:pPr>
        <w:pStyle w:val="98"/>
        <w:spacing w:before="288" w:beforeLines="120" w:after="288" w:afterLines="120" w:line="288" w:lineRule="auto"/>
        <w:ind w:left="0" w:firstLine="0"/>
        <w:contextualSpacing/>
        <w:rPr>
          <w:rFonts w:ascii="Times New Roman" w:hAnsi="Times New Roman" w:cs="Times New Roman"/>
          <w:sz w:val="24"/>
          <w:szCs w:val="24"/>
        </w:rPr>
      </w:pPr>
    </w:p>
    <w:p w14:paraId="438CCC3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5.17 Caso o licitante não apresente lances, concorrerá com o valor de sua proposta.</w:t>
      </w:r>
    </w:p>
    <w:p w14:paraId="0B82E27D">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37378D4F">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6934D681">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2B1605A8">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5.18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06E3BC00">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9B007CA">
      <w:pPr>
        <w:pStyle w:val="98"/>
        <w:spacing w:before="288" w:beforeLines="120" w:after="288" w:afterLines="120" w:line="288" w:lineRule="auto"/>
        <w:ind w:left="0" w:right="-2" w:firstLine="0"/>
        <w:contextualSpacing/>
        <w:rPr>
          <w:rFonts w:ascii="Times New Roman" w:hAnsi="Times New Roman" w:cs="Times New Roman"/>
          <w:sz w:val="24"/>
          <w:szCs w:val="24"/>
        </w:rPr>
      </w:pPr>
    </w:p>
    <w:p w14:paraId="2127CEA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0F2F1F88">
      <w:pPr>
        <w:pStyle w:val="102"/>
        <w:spacing w:before="288" w:beforeLines="120" w:after="288" w:afterLines="120" w:line="288" w:lineRule="auto"/>
        <w:ind w:left="0" w:firstLine="0"/>
        <w:contextualSpacing/>
        <w:rPr>
          <w:rFonts w:ascii="Times New Roman" w:hAnsi="Times New Roman" w:cs="Times New Roman"/>
          <w:sz w:val="24"/>
          <w:szCs w:val="24"/>
        </w:rPr>
      </w:pPr>
    </w:p>
    <w:p w14:paraId="1DD94F7E">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CB5942">
      <w:pPr>
        <w:pStyle w:val="102"/>
        <w:spacing w:before="288" w:beforeLines="120" w:after="288" w:afterLines="120" w:line="288" w:lineRule="auto"/>
        <w:ind w:left="0" w:firstLine="0"/>
        <w:contextualSpacing/>
        <w:rPr>
          <w:rFonts w:ascii="Times New Roman" w:hAnsi="Times New Roman" w:cs="Times New Roman"/>
          <w:sz w:val="24"/>
          <w:szCs w:val="24"/>
        </w:rPr>
      </w:pPr>
    </w:p>
    <w:p w14:paraId="782C1390">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F76C4E">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02C2E1">
      <w:pPr>
        <w:pStyle w:val="98"/>
        <w:spacing w:before="288" w:beforeLines="120" w:after="288" w:afterLines="120" w:line="288" w:lineRule="auto"/>
        <w:ind w:left="0" w:firstLine="0"/>
        <w:contextualSpacing/>
        <w:rPr>
          <w:rFonts w:ascii="Times New Roman" w:hAnsi="Times New Roman" w:cs="Times New Roman"/>
          <w:sz w:val="24"/>
          <w:szCs w:val="24"/>
        </w:rPr>
      </w:pPr>
    </w:p>
    <w:p w14:paraId="0CFB03B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5.19 Só poderá haver empate entre propostas iguais (não seguidas de lances) ou entre lances finais da fase fechada do modo de disputa aberto e fechado. </w:t>
      </w:r>
    </w:p>
    <w:p w14:paraId="14CA2C05">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5.19.1 Havendo eventual empate entre propostas ou lances, o critério de desempate será o abaixo previsto, nesta ordem:</w:t>
      </w:r>
    </w:p>
    <w:p w14:paraId="2B07798F">
      <w:pPr>
        <w:pStyle w:val="102"/>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58CF3033">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5.19.1.1 contratação de microempresas e empresas de pequeno porte, nos termos dos arts. 44 e 45 da Lei Complementar nº 123/2006, observado o disposto no art. 4º da Lei nº 14.133/2021;</w:t>
      </w:r>
    </w:p>
    <w:p w14:paraId="1F78F8C9">
      <w:pPr>
        <w:pStyle w:val="119"/>
        <w:spacing w:before="288" w:beforeLines="120" w:after="288" w:afterLines="120" w:line="288" w:lineRule="auto"/>
        <w:ind w:left="0"/>
        <w:contextualSpacing/>
        <w:rPr>
          <w:rFonts w:ascii="Times New Roman" w:hAnsi="Times New Roman" w:cs="Times New Roman"/>
          <w:sz w:val="24"/>
          <w:szCs w:val="24"/>
        </w:rPr>
      </w:pPr>
    </w:p>
    <w:p w14:paraId="7EECEBD7">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5.19.1.2 disputa final, hipótese em que os licitantes empatados poderão apresentar nova proposta em ato contínuo à classificação;</w:t>
      </w:r>
    </w:p>
    <w:p w14:paraId="6220997B">
      <w:pPr>
        <w:pStyle w:val="119"/>
        <w:spacing w:before="288" w:beforeLines="120" w:after="288" w:afterLines="120" w:line="288" w:lineRule="auto"/>
        <w:ind w:left="0"/>
        <w:contextualSpacing/>
        <w:rPr>
          <w:rFonts w:ascii="Times New Roman" w:hAnsi="Times New Roman" w:cs="Times New Roman"/>
          <w:sz w:val="24"/>
          <w:szCs w:val="24"/>
        </w:rPr>
      </w:pPr>
    </w:p>
    <w:p w14:paraId="17ACDFA0">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5.19.1.3 avaliação do desempenho contratual prévio dos licitantes, para a qual deverão preferencialmente ser utilizados registros cadastrais para efeito de atesto de cumprimento de obrigações previstos na Lei;</w:t>
      </w:r>
    </w:p>
    <w:p w14:paraId="5E0BABBB">
      <w:pPr>
        <w:pStyle w:val="119"/>
        <w:spacing w:before="288" w:beforeLines="120" w:after="288" w:afterLines="120" w:line="288" w:lineRule="auto"/>
        <w:ind w:left="0"/>
        <w:contextualSpacing/>
        <w:rPr>
          <w:rFonts w:ascii="Times New Roman" w:hAnsi="Times New Roman" w:cs="Times New Roman"/>
          <w:sz w:val="24"/>
          <w:szCs w:val="24"/>
        </w:rPr>
      </w:pPr>
    </w:p>
    <w:p w14:paraId="00C7FE07">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5.19.1.4 desenvolvimento pelo licitante de ações de equidade entre homens e mulheres no ambiente de trabalho;</w:t>
      </w:r>
    </w:p>
    <w:p w14:paraId="136904E6">
      <w:pPr>
        <w:pStyle w:val="119"/>
        <w:spacing w:before="288" w:beforeLines="120" w:after="288" w:afterLines="120" w:line="288" w:lineRule="auto"/>
        <w:ind w:left="0"/>
        <w:contextualSpacing/>
        <w:rPr>
          <w:rFonts w:ascii="Times New Roman" w:hAnsi="Times New Roman" w:cs="Times New Roman"/>
          <w:sz w:val="24"/>
          <w:szCs w:val="24"/>
        </w:rPr>
      </w:pPr>
    </w:p>
    <w:p w14:paraId="3EEDA16E">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5.19.1.5 desenvolvimento pelo licitante de programa de integridade, conforme orientações dos órgãos de controle.</w:t>
      </w:r>
    </w:p>
    <w:p w14:paraId="3D56CEF1">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5.19.2 Persistindo o empate, será assegurada preferência, sucessivamente, aos bens e serviços produzidos ou prestados por:</w:t>
      </w:r>
    </w:p>
    <w:p w14:paraId="464DCAC4">
      <w:pPr>
        <w:pStyle w:val="119"/>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5.19.2.1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168AB87">
      <w:pPr>
        <w:pStyle w:val="119"/>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17892A38">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5.19.2.2 empresas brasileiras;</w:t>
      </w:r>
    </w:p>
    <w:p w14:paraId="04256776">
      <w:pPr>
        <w:pStyle w:val="119"/>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9FEC76D">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5.19.2.3 empresas que invistam em pesquisa e no desenvolvimento de tecnologia no País;</w:t>
      </w:r>
    </w:p>
    <w:p w14:paraId="2E3564DC">
      <w:pPr>
        <w:pStyle w:val="119"/>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16B119B">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138F3E4E">
      <w:pPr>
        <w:pStyle w:val="96"/>
        <w:spacing w:before="0" w:beforeAutospacing="0" w:after="0" w:afterAutospacing="0" w:line="288" w:lineRule="auto"/>
        <w:contextualSpacing/>
        <w:jc w:val="both"/>
        <w:rPr>
          <w:rFonts w:eastAsia="Calibri"/>
          <w:b/>
          <w:bCs/>
          <w:lang w:eastAsia="en-US"/>
        </w:rPr>
      </w:pPr>
      <w:r>
        <w:rPr>
          <w:rFonts w:eastAsia="Calibri"/>
          <w:b/>
          <w:bCs/>
          <w:lang w:eastAsia="en-US"/>
        </w:rPr>
        <w:t>6. DA FASE DE JULGAMENTO</w:t>
      </w:r>
    </w:p>
    <w:p w14:paraId="7955E563">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6F4E09DD">
      <w:pPr>
        <w:pStyle w:val="98"/>
        <w:spacing w:before="288" w:beforeLines="120" w:after="288" w:afterLines="120" w:line="288" w:lineRule="auto"/>
        <w:ind w:left="0" w:firstLine="0"/>
        <w:contextualSpacing/>
        <w:rPr>
          <w:rFonts w:ascii="Times New Roman" w:hAnsi="Times New Roman" w:cs="Times New Roman"/>
          <w:sz w:val="24"/>
          <w:szCs w:val="24"/>
        </w:rPr>
      </w:pPr>
    </w:p>
    <w:p w14:paraId="1FDD49B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0761B0A6">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6.1.2 A negociação será realizada por meio do sistema, podendo ser acompanhada pelos demais licitantes.</w:t>
      </w:r>
    </w:p>
    <w:p w14:paraId="49C28880">
      <w:pPr>
        <w:pStyle w:val="102"/>
        <w:spacing w:before="288" w:beforeLines="120" w:after="288" w:afterLines="120" w:line="288" w:lineRule="auto"/>
        <w:ind w:left="0" w:firstLine="0"/>
        <w:contextualSpacing/>
        <w:rPr>
          <w:rFonts w:ascii="Times New Roman" w:hAnsi="Times New Roman" w:cs="Times New Roman"/>
          <w:sz w:val="24"/>
          <w:szCs w:val="24"/>
        </w:rPr>
      </w:pPr>
    </w:p>
    <w:p w14:paraId="46FB792E">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6.1.3 O resultado da negociação será divulgado a todos os licitantes e anexado aos autos do processo licitatório.</w:t>
      </w:r>
    </w:p>
    <w:p w14:paraId="3864BC05">
      <w:pPr>
        <w:pStyle w:val="102"/>
        <w:spacing w:before="288" w:beforeLines="120" w:after="288" w:afterLines="120" w:line="288" w:lineRule="auto"/>
        <w:ind w:left="0" w:firstLine="0"/>
        <w:contextualSpacing/>
        <w:rPr>
          <w:rFonts w:ascii="Times New Roman" w:hAnsi="Times New Roman" w:cs="Times New Roman"/>
          <w:sz w:val="24"/>
          <w:szCs w:val="24"/>
        </w:rPr>
      </w:pPr>
    </w:p>
    <w:p w14:paraId="0B8DCB49">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59BC5D39">
      <w:pPr>
        <w:pStyle w:val="102"/>
        <w:spacing w:before="288" w:beforeLines="120" w:after="288" w:afterLines="120" w:line="288" w:lineRule="auto"/>
        <w:ind w:left="0" w:firstLine="0"/>
        <w:contextualSpacing/>
        <w:rPr>
          <w:rFonts w:ascii="Times New Roman" w:hAnsi="Times New Roman" w:cs="Times New Roman"/>
          <w:sz w:val="24"/>
          <w:szCs w:val="24"/>
        </w:rPr>
      </w:pPr>
    </w:p>
    <w:p w14:paraId="2A514C45">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6.1.5 É facultado ao Pregoeiro prorrogar o prazo estabelecido, por igual período, de ofício ou a partir de solicitação fundamentada feita no chat pelo licitante, antes de findo o prazo.</w:t>
      </w:r>
    </w:p>
    <w:p w14:paraId="0BE7B083">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6.2 Encerrada a negociação, o Pregoeiro examinará a proposta classificada em primeiro lugar quanto à adequação ao objeto e à compatibilidade do preço em relação ao máximo estipulado para contratação neste Edital e em seus anexos.</w:t>
      </w:r>
    </w:p>
    <w:p w14:paraId="526B42F7">
      <w:pPr>
        <w:pStyle w:val="98"/>
        <w:spacing w:before="288" w:beforeLines="120" w:after="288" w:afterLines="120" w:line="288" w:lineRule="auto"/>
        <w:ind w:left="0" w:firstLine="0"/>
        <w:contextualSpacing/>
        <w:rPr>
          <w:rFonts w:ascii="Times New Roman" w:hAnsi="Times New Roman" w:cs="Times New Roman"/>
          <w:sz w:val="24"/>
          <w:szCs w:val="24"/>
        </w:rPr>
      </w:pPr>
    </w:p>
    <w:p w14:paraId="77F4F277">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6.3 Será desclassificada a proposta vencedora que: </w:t>
      </w:r>
    </w:p>
    <w:p w14:paraId="0B06BF49">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6.3.1 contiver vícios insanáveis;</w:t>
      </w:r>
    </w:p>
    <w:p w14:paraId="1CE51755">
      <w:pPr>
        <w:pStyle w:val="102"/>
        <w:spacing w:before="288" w:beforeLines="120" w:after="288" w:afterLines="120" w:line="288" w:lineRule="auto"/>
        <w:ind w:left="0" w:firstLine="0"/>
        <w:contextualSpacing/>
        <w:rPr>
          <w:rFonts w:ascii="Times New Roman" w:hAnsi="Times New Roman" w:cs="Times New Roman"/>
          <w:sz w:val="24"/>
          <w:szCs w:val="24"/>
        </w:rPr>
      </w:pPr>
    </w:p>
    <w:p w14:paraId="1BBCDA1E">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6.3.2 não obedecer às especificações técnicas contidas no Termo de Referência;</w:t>
      </w:r>
    </w:p>
    <w:p w14:paraId="37087A41">
      <w:pPr>
        <w:pStyle w:val="102"/>
        <w:spacing w:before="288" w:beforeLines="120" w:after="288" w:afterLines="120" w:line="288" w:lineRule="auto"/>
        <w:ind w:left="0" w:firstLine="0"/>
        <w:contextualSpacing/>
        <w:rPr>
          <w:rFonts w:ascii="Times New Roman" w:hAnsi="Times New Roman" w:cs="Times New Roman"/>
          <w:sz w:val="24"/>
          <w:szCs w:val="24"/>
        </w:rPr>
      </w:pPr>
    </w:p>
    <w:p w14:paraId="5B46E2C8">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6.3.3 apresentar preços inexequíveis ou permanecerem acima do preço máximo definido para a contratação;</w:t>
      </w:r>
    </w:p>
    <w:p w14:paraId="49770452">
      <w:pPr>
        <w:pStyle w:val="102"/>
        <w:spacing w:before="288" w:beforeLines="120" w:after="288" w:afterLines="120" w:line="288" w:lineRule="auto"/>
        <w:ind w:left="0" w:firstLine="0"/>
        <w:contextualSpacing/>
        <w:rPr>
          <w:rFonts w:ascii="Times New Roman" w:hAnsi="Times New Roman" w:cs="Times New Roman"/>
          <w:sz w:val="24"/>
          <w:szCs w:val="24"/>
        </w:rPr>
      </w:pPr>
    </w:p>
    <w:p w14:paraId="75EDACAE">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6.3.4 não tiverem sua exequibilidade demonstrada, quando exigido pela Administração;</w:t>
      </w:r>
    </w:p>
    <w:p w14:paraId="3A0688D2">
      <w:pPr>
        <w:pStyle w:val="102"/>
        <w:spacing w:before="288" w:beforeLines="120" w:after="288" w:afterLines="120" w:line="288" w:lineRule="auto"/>
        <w:ind w:left="0" w:firstLine="0"/>
        <w:contextualSpacing/>
        <w:rPr>
          <w:rFonts w:ascii="Times New Roman" w:hAnsi="Times New Roman" w:cs="Times New Roman"/>
          <w:sz w:val="24"/>
          <w:szCs w:val="24"/>
        </w:rPr>
      </w:pPr>
    </w:p>
    <w:p w14:paraId="27BBB2A3">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6.3.5 apresentar desconformidade com quaisquer outras exigências deste Edital ou seus anexos, desde que insanável.</w:t>
      </w:r>
    </w:p>
    <w:p w14:paraId="66C0E297">
      <w:pPr>
        <w:pStyle w:val="98"/>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6.4 A desclassificação será sempre fundamentada e registrada no sistema, com acompanhamento por todos os participantes.</w:t>
      </w:r>
    </w:p>
    <w:p w14:paraId="10C1B0B9">
      <w:pPr>
        <w:pStyle w:val="98"/>
        <w:spacing w:before="288" w:beforeLines="120" w:after="288" w:afterLines="120" w:line="288" w:lineRule="auto"/>
        <w:ind w:left="0" w:firstLine="0"/>
        <w:contextualSpacing/>
        <w:rPr>
          <w:rFonts w:ascii="Times New Roman" w:hAnsi="Times New Roman" w:cs="Times New Roman"/>
          <w:sz w:val="24"/>
          <w:szCs w:val="24"/>
        </w:rPr>
      </w:pPr>
    </w:p>
    <w:p w14:paraId="71A551F7">
      <w:pPr>
        <w:pStyle w:val="98"/>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6.5 É indício de inexequibilidade das propostas valores inferiores a 50% (cinquenta por cento) do valor orçado pela Administração, conforme art. 59 da Lei 14.133/2021 e Instrução Normativa/ME 73/2022. </w:t>
      </w:r>
    </w:p>
    <w:p w14:paraId="6E4669BD">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1E535EFD">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6.5.1.1 que o custo do licitante ultrapassa o valor da proposta; e</w:t>
      </w:r>
    </w:p>
    <w:p w14:paraId="7F6FD5F7">
      <w:pPr>
        <w:pStyle w:val="119"/>
        <w:spacing w:before="288" w:beforeLines="120" w:after="288" w:afterLines="120" w:line="288" w:lineRule="auto"/>
        <w:ind w:left="0"/>
        <w:contextualSpacing/>
        <w:rPr>
          <w:rFonts w:ascii="Times New Roman" w:hAnsi="Times New Roman" w:cs="Times New Roman"/>
          <w:sz w:val="24"/>
          <w:szCs w:val="24"/>
        </w:rPr>
      </w:pPr>
    </w:p>
    <w:p w14:paraId="00705E91">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6.5.1.2 inexistirem custos de oportunidade capazes de justificar o vulto da oferta.</w:t>
      </w:r>
    </w:p>
    <w:p w14:paraId="71E8A1A3">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6.6 Se houver indícios de inexequibilidade da proposta de preço, ou em caso da necessidade de esclarecimentos complementares, poderão ser efetuadas diligências, para que a empresa comprove a exequibilidade da proposta.</w:t>
      </w:r>
    </w:p>
    <w:p w14:paraId="048DD691">
      <w:pPr>
        <w:pStyle w:val="98"/>
        <w:spacing w:before="288" w:beforeLines="120" w:after="288" w:afterLines="120" w:line="288" w:lineRule="auto"/>
        <w:ind w:left="0" w:firstLine="0"/>
        <w:contextualSpacing/>
        <w:rPr>
          <w:rFonts w:ascii="Times New Roman" w:hAnsi="Times New Roman" w:cs="Times New Roman"/>
          <w:sz w:val="24"/>
          <w:szCs w:val="24"/>
        </w:rPr>
      </w:pPr>
    </w:p>
    <w:p w14:paraId="506D2A5A">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6FEA8F3">
      <w:pPr>
        <w:pStyle w:val="98"/>
        <w:spacing w:before="288" w:beforeLines="120" w:after="288" w:afterLines="120" w:line="288" w:lineRule="auto"/>
        <w:ind w:left="0" w:firstLine="0"/>
        <w:contextualSpacing/>
        <w:rPr>
          <w:rFonts w:ascii="Times New Roman" w:hAnsi="Times New Roman" w:cs="Times New Roman"/>
          <w:sz w:val="24"/>
          <w:szCs w:val="24"/>
        </w:rPr>
      </w:pPr>
    </w:p>
    <w:p w14:paraId="72A4151E">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BCB0B7F">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6.8.1 O ajuste de que trata este dispositivo se limita a sanar erros ou falhas que não alterem a substância das propostas.</w:t>
      </w:r>
    </w:p>
    <w:p w14:paraId="5784DAAE">
      <w:pPr>
        <w:pStyle w:val="102"/>
        <w:spacing w:before="288" w:beforeLines="120" w:after="288" w:afterLines="120" w:line="288" w:lineRule="auto"/>
        <w:ind w:left="0" w:firstLine="0"/>
        <w:contextualSpacing/>
        <w:rPr>
          <w:rFonts w:ascii="Times New Roman" w:hAnsi="Times New Roman" w:cs="Times New Roman"/>
          <w:sz w:val="24"/>
          <w:szCs w:val="24"/>
        </w:rPr>
      </w:pPr>
    </w:p>
    <w:p w14:paraId="1EC6335C">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6.8.2 Considera-se erro no preenchimento da planilha passível de correção a indicação de recolhimento de impostos e contribuições na forma do Simples Nacional, quando não cabível esse regime.</w:t>
      </w:r>
    </w:p>
    <w:p w14:paraId="34AD0459">
      <w:pPr>
        <w:pStyle w:val="98"/>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6.9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6C8C9F73">
      <w:pPr>
        <w:pStyle w:val="98"/>
        <w:spacing w:before="288" w:beforeLines="120" w:after="288" w:afterLines="120" w:line="288" w:lineRule="auto"/>
        <w:ind w:left="0" w:firstLine="0"/>
        <w:contextualSpacing/>
        <w:rPr>
          <w:rFonts w:ascii="Times New Roman" w:hAnsi="Times New Roman" w:cs="Times New Roman"/>
          <w:sz w:val="24"/>
          <w:szCs w:val="24"/>
        </w:rPr>
      </w:pPr>
    </w:p>
    <w:p w14:paraId="69CDE5CD">
      <w:pPr>
        <w:pStyle w:val="98"/>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6.10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1AF5E063">
      <w:pPr>
        <w:pStyle w:val="49"/>
        <w:spacing w:before="288" w:beforeLines="120" w:after="288" w:afterLines="120" w:line="288" w:lineRule="auto"/>
        <w:ind w:left="0"/>
        <w:jc w:val="both"/>
        <w:rPr>
          <w:sz w:val="24"/>
          <w:szCs w:val="24"/>
          <w:lang w:eastAsia="ar-SA"/>
        </w:rPr>
      </w:pPr>
      <w:r>
        <w:rPr>
          <w:sz w:val="24"/>
          <w:szCs w:val="24"/>
          <w:lang w:eastAsia="ar-SA"/>
        </w:rPr>
        <w:t xml:space="preserve">a) SICAF;  </w:t>
      </w:r>
    </w:p>
    <w:p w14:paraId="65ADF38E">
      <w:pPr>
        <w:pStyle w:val="49"/>
        <w:spacing w:before="288" w:beforeLines="120" w:after="288" w:afterLines="120" w:line="288" w:lineRule="auto"/>
        <w:ind w:left="0"/>
        <w:jc w:val="both"/>
        <w:rPr>
          <w:sz w:val="24"/>
          <w:szCs w:val="24"/>
          <w:lang w:eastAsia="ar-SA"/>
        </w:rPr>
      </w:pPr>
    </w:p>
    <w:p w14:paraId="5D657443">
      <w:pPr>
        <w:pStyle w:val="49"/>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182A1AD7">
      <w:pPr>
        <w:pStyle w:val="49"/>
        <w:spacing w:before="288" w:beforeLines="120" w:after="288" w:afterLines="120" w:line="288" w:lineRule="auto"/>
        <w:ind w:left="0"/>
        <w:jc w:val="both"/>
        <w:rPr>
          <w:sz w:val="24"/>
          <w:szCs w:val="24"/>
          <w:lang w:eastAsia="ar-SA"/>
        </w:rPr>
      </w:pPr>
    </w:p>
    <w:p w14:paraId="22545E2F">
      <w:pPr>
        <w:pStyle w:val="49"/>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9ADEDC5">
      <w:pPr>
        <w:pStyle w:val="49"/>
        <w:spacing w:before="288" w:beforeLines="120" w:after="288" w:afterLines="120" w:line="288" w:lineRule="auto"/>
        <w:ind w:left="0"/>
        <w:jc w:val="both"/>
        <w:rPr>
          <w:sz w:val="24"/>
          <w:szCs w:val="24"/>
          <w:lang w:eastAsia="ar-SA"/>
        </w:rPr>
      </w:pPr>
    </w:p>
    <w:p w14:paraId="408756FD">
      <w:pPr>
        <w:pStyle w:val="49"/>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2320F922">
      <w:pPr>
        <w:pStyle w:val="49"/>
        <w:spacing w:before="288" w:beforeLines="120" w:after="288" w:afterLines="120" w:line="288" w:lineRule="auto"/>
        <w:ind w:left="0"/>
        <w:jc w:val="both"/>
        <w:rPr>
          <w:sz w:val="24"/>
          <w:szCs w:val="24"/>
          <w:lang w:eastAsia="ar-SA"/>
        </w:rPr>
      </w:pPr>
    </w:p>
    <w:p w14:paraId="4302634B">
      <w:pPr>
        <w:pStyle w:val="49"/>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4DA81B32">
      <w:pPr>
        <w:pStyle w:val="49"/>
        <w:spacing w:before="288" w:beforeLines="120" w:after="288" w:afterLines="120" w:line="288" w:lineRule="auto"/>
        <w:ind w:left="0"/>
        <w:jc w:val="both"/>
        <w:rPr>
          <w:sz w:val="24"/>
          <w:szCs w:val="24"/>
          <w:lang w:eastAsia="ar-SA"/>
        </w:rPr>
      </w:pPr>
    </w:p>
    <w:p w14:paraId="45283D08">
      <w:pPr>
        <w:pStyle w:val="49"/>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33BA3D0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6.11 Caso o licitante provisoriamente classificado em primeiro lugar tenha se utilizado de algum tratamento favorecido às ME/EPPs, o Pregoeiro verificará se faz jus ao benefício, em conformidade com os itens 3.8 e 4.5 deste Edital.</w:t>
      </w:r>
    </w:p>
    <w:p w14:paraId="0AC38584">
      <w:pPr>
        <w:pStyle w:val="96"/>
        <w:spacing w:before="0" w:beforeAutospacing="0" w:after="0" w:afterAutospacing="0" w:line="288" w:lineRule="auto"/>
        <w:contextualSpacing/>
        <w:jc w:val="both"/>
        <w:rPr>
          <w:rFonts w:eastAsia="Calibri"/>
          <w:b/>
          <w:bCs/>
          <w:lang w:eastAsia="en-US"/>
        </w:rPr>
      </w:pPr>
      <w:r>
        <w:rPr>
          <w:rFonts w:eastAsia="Calibri"/>
          <w:b/>
          <w:bCs/>
          <w:lang w:eastAsia="en-US"/>
        </w:rPr>
        <w:t>7. DA FASE DE HABILITAÇÃO</w:t>
      </w:r>
    </w:p>
    <w:p w14:paraId="09E5E23D">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324E400">
      <w:pPr>
        <w:pStyle w:val="98"/>
        <w:spacing w:before="288" w:beforeLines="120" w:after="288" w:afterLines="120" w:line="288" w:lineRule="auto"/>
        <w:ind w:left="0" w:firstLine="0"/>
        <w:contextualSpacing/>
        <w:rPr>
          <w:rFonts w:ascii="Times New Roman" w:hAnsi="Times New Roman" w:cs="Times New Roman"/>
          <w:sz w:val="24"/>
          <w:szCs w:val="24"/>
        </w:rPr>
      </w:pPr>
    </w:p>
    <w:p w14:paraId="494BA36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75C954C0">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7.3.1 A tentativa de burla será verificada por meio dos vínculos societários, linhas de fornecimento similares, dentre outros. </w:t>
      </w:r>
    </w:p>
    <w:p w14:paraId="47C546E1">
      <w:pPr>
        <w:pStyle w:val="102"/>
        <w:spacing w:before="288" w:beforeLines="120" w:after="288" w:afterLines="120" w:line="288" w:lineRule="auto"/>
        <w:ind w:left="0" w:firstLine="0"/>
        <w:contextualSpacing/>
        <w:rPr>
          <w:rFonts w:ascii="Times New Roman" w:hAnsi="Times New Roman" w:cs="Times New Roman"/>
          <w:sz w:val="24"/>
          <w:szCs w:val="24"/>
        </w:rPr>
      </w:pPr>
    </w:p>
    <w:p w14:paraId="763D0CC3">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7.3.2 O licitante será convocado para manifestação previamente a uma eventual desclassificação. </w:t>
      </w:r>
    </w:p>
    <w:p w14:paraId="1F1F8BAE">
      <w:pPr>
        <w:pStyle w:val="102"/>
        <w:spacing w:before="288" w:beforeLines="120" w:after="288" w:afterLines="120" w:line="288" w:lineRule="auto"/>
        <w:ind w:left="0" w:firstLine="0"/>
        <w:contextualSpacing/>
        <w:rPr>
          <w:rFonts w:ascii="Times New Roman" w:hAnsi="Times New Roman" w:cs="Times New Roman"/>
          <w:sz w:val="24"/>
          <w:szCs w:val="24"/>
        </w:rPr>
      </w:pPr>
    </w:p>
    <w:p w14:paraId="183E48FC">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7.3.3 Constatada a existência de sanção, o licitante será reputado inabilitado, por falta de condição de participação.</w:t>
      </w:r>
    </w:p>
    <w:p w14:paraId="2882BCEC">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3A966740">
      <w:pPr>
        <w:pStyle w:val="98"/>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3703E0F6">
      <w:pPr>
        <w:pStyle w:val="98"/>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7.6 Caso atendidas as condições de participação, a habilitação do licitante provisoriamente classificado em primeiro lugar será verificada pelo Pregoeiro por meio do registro cadastral no SICAF, quanto aos documentos por este abrangidos.</w:t>
      </w:r>
    </w:p>
    <w:p w14:paraId="2ADA079F">
      <w:pPr>
        <w:pStyle w:val="98"/>
        <w:spacing w:before="57" w:beforeLines="24" w:after="57" w:afterLines="24" w:line="288" w:lineRule="auto"/>
        <w:ind w:left="0" w:right="-2" w:firstLine="0"/>
        <w:contextualSpacing/>
        <w:rPr>
          <w:rFonts w:ascii="Times New Roman" w:hAnsi="Times New Roman" w:cs="Times New Roman"/>
          <w:color w:val="auto"/>
          <w:sz w:val="24"/>
          <w:szCs w:val="24"/>
        </w:rPr>
      </w:pPr>
    </w:p>
    <w:p w14:paraId="096338D4">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7.6.1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E87DD3B">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p>
    <w:p w14:paraId="7D3EED75">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72289737">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p>
    <w:p w14:paraId="1A3E009C">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57AA1C3D">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p>
    <w:p w14:paraId="340A3983">
      <w:pPr>
        <w:pStyle w:val="102"/>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7.6.4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074D18E8">
      <w:pPr>
        <w:pStyle w:val="98"/>
        <w:spacing w:before="57" w:beforeLines="24" w:after="57" w:afterLines="24" w:line="288" w:lineRule="auto"/>
        <w:ind w:left="0" w:firstLine="0"/>
        <w:contextualSpacing/>
        <w:rPr>
          <w:rFonts w:ascii="Times New Roman" w:hAnsi="Times New Roman" w:cs="Times New Roman"/>
          <w:sz w:val="24"/>
          <w:szCs w:val="24"/>
        </w:rPr>
      </w:pPr>
    </w:p>
    <w:p w14:paraId="33C1263E">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Após a apresentação dos documentos de habilitação, fica vedada a substituição ou a apresentação de novos documentos, salvo em sede de diligência, para:</w:t>
      </w:r>
    </w:p>
    <w:p w14:paraId="13E4E793">
      <w:pPr>
        <w:pStyle w:val="98"/>
        <w:spacing w:before="57" w:beforeLines="24" w:after="57" w:afterLines="24" w:line="288" w:lineRule="auto"/>
        <w:ind w:left="0" w:firstLine="0"/>
        <w:contextualSpacing/>
        <w:rPr>
          <w:rFonts w:ascii="Times New Roman" w:hAnsi="Times New Roman" w:cs="Times New Roman"/>
          <w:sz w:val="24"/>
          <w:szCs w:val="24"/>
        </w:rPr>
      </w:pPr>
    </w:p>
    <w:p w14:paraId="4F94BE1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84CF0A4">
      <w:pPr>
        <w:pStyle w:val="98"/>
        <w:spacing w:before="57" w:beforeLines="24" w:after="57" w:afterLines="24" w:line="288" w:lineRule="auto"/>
        <w:ind w:left="0" w:firstLine="0"/>
        <w:contextualSpacing/>
        <w:rPr>
          <w:rFonts w:ascii="Times New Roman" w:hAnsi="Times New Roman" w:cs="Times New Roman"/>
          <w:sz w:val="24"/>
          <w:szCs w:val="24"/>
        </w:rPr>
      </w:pPr>
    </w:p>
    <w:p w14:paraId="5AB88238">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7368727C">
      <w:pPr>
        <w:pStyle w:val="98"/>
        <w:spacing w:before="57" w:beforeLines="24" w:after="57" w:afterLines="24" w:line="288" w:lineRule="auto"/>
        <w:ind w:left="0" w:firstLine="0"/>
        <w:contextualSpacing/>
        <w:rPr>
          <w:rFonts w:ascii="Times New Roman" w:hAnsi="Times New Roman" w:cs="Times New Roman"/>
          <w:sz w:val="24"/>
          <w:szCs w:val="24"/>
        </w:rPr>
      </w:pPr>
    </w:p>
    <w:p w14:paraId="08FCFE9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6CBF2D3C">
      <w:pPr>
        <w:pStyle w:val="98"/>
        <w:spacing w:before="57" w:beforeLines="24" w:after="57" w:afterLines="24" w:line="288" w:lineRule="auto"/>
        <w:ind w:left="0" w:firstLine="0"/>
        <w:contextualSpacing/>
        <w:rPr>
          <w:rFonts w:ascii="Times New Roman" w:hAnsi="Times New Roman" w:cs="Times New Roman"/>
          <w:sz w:val="24"/>
          <w:szCs w:val="24"/>
        </w:rPr>
      </w:pPr>
    </w:p>
    <w:p w14:paraId="7D373CD9">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4B2639F5">
      <w:pPr>
        <w:pStyle w:val="102"/>
        <w:spacing w:before="57" w:beforeLines="24" w:after="57" w:afterLines="24" w:line="288" w:lineRule="auto"/>
        <w:ind w:left="0" w:firstLine="0"/>
        <w:contextualSpacing/>
        <w:rPr>
          <w:rFonts w:ascii="Times New Roman" w:hAnsi="Times New Roman" w:cs="Times New Roman"/>
          <w:sz w:val="24"/>
          <w:szCs w:val="24"/>
        </w:rPr>
      </w:pPr>
    </w:p>
    <w:p w14:paraId="148A3FDA">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16C04B7D">
      <w:pPr>
        <w:pStyle w:val="98"/>
        <w:spacing w:before="57" w:beforeLines="24" w:after="57" w:afterLines="24" w:line="288" w:lineRule="auto"/>
        <w:ind w:left="0" w:firstLine="0"/>
        <w:contextualSpacing/>
        <w:rPr>
          <w:rFonts w:ascii="Times New Roman" w:hAnsi="Times New Roman" w:cs="Times New Roman"/>
          <w:sz w:val="24"/>
          <w:szCs w:val="24"/>
        </w:rPr>
      </w:pPr>
    </w:p>
    <w:p w14:paraId="6A1CC436">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7.10 Constatado o atendimento às exigências de habilitação, o licitante será habilitado.</w:t>
      </w:r>
    </w:p>
    <w:p w14:paraId="6CA04898">
      <w:pPr>
        <w:pStyle w:val="98"/>
        <w:spacing w:before="57" w:beforeLines="24" w:after="57" w:afterLines="24" w:line="288" w:lineRule="auto"/>
        <w:ind w:left="0" w:firstLine="0"/>
        <w:contextualSpacing/>
        <w:rPr>
          <w:rFonts w:ascii="Times New Roman" w:hAnsi="Times New Roman" w:cs="Times New Roman"/>
          <w:sz w:val="24"/>
          <w:szCs w:val="24"/>
        </w:rPr>
      </w:pPr>
    </w:p>
    <w:p w14:paraId="5C0DEE85">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7.11 Somente serão disponibilizados para acesso público os documentos de habilitação do licitante cuja proposta atenda ao edital de licitação, após declarada sua habilitação. </w:t>
      </w:r>
    </w:p>
    <w:p w14:paraId="1D845589">
      <w:pPr>
        <w:pStyle w:val="98"/>
        <w:spacing w:before="57" w:beforeLines="24" w:after="57" w:afterLines="24" w:line="288" w:lineRule="auto"/>
        <w:ind w:left="0" w:firstLine="0"/>
        <w:contextualSpacing/>
        <w:rPr>
          <w:rFonts w:ascii="Times New Roman" w:hAnsi="Times New Roman" w:cs="Times New Roman"/>
          <w:sz w:val="24"/>
          <w:szCs w:val="24"/>
        </w:rPr>
      </w:pPr>
    </w:p>
    <w:p w14:paraId="78D22DDA">
      <w:pPr>
        <w:pStyle w:val="98"/>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7.12 Não serão aceitos documentos de habilitação com indicação de CNPJ/CPF diferentes, salvo aqueles legalmente permitidos.</w:t>
      </w:r>
    </w:p>
    <w:p w14:paraId="3235F02B">
      <w:pPr>
        <w:pStyle w:val="98"/>
        <w:spacing w:before="57" w:beforeLines="24" w:after="57" w:afterLines="24" w:line="288" w:lineRule="auto"/>
        <w:ind w:left="0" w:firstLine="0"/>
        <w:contextualSpacing/>
        <w:rPr>
          <w:rFonts w:ascii="Times New Roman" w:hAnsi="Times New Roman" w:cs="Times New Roman"/>
          <w:color w:val="auto"/>
          <w:sz w:val="24"/>
          <w:szCs w:val="24"/>
        </w:rPr>
      </w:pPr>
    </w:p>
    <w:p w14:paraId="5A4B71B8">
      <w:pPr>
        <w:pStyle w:val="102"/>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B56805B">
      <w:pPr>
        <w:pStyle w:val="102"/>
        <w:spacing w:before="57" w:beforeLines="24" w:after="57" w:afterLines="24" w:line="288" w:lineRule="auto"/>
        <w:ind w:left="0" w:firstLine="0"/>
        <w:contextualSpacing/>
        <w:rPr>
          <w:rFonts w:ascii="Times New Roman" w:hAnsi="Times New Roman" w:cs="Times New Roman"/>
          <w:color w:val="auto"/>
          <w:sz w:val="24"/>
          <w:szCs w:val="24"/>
        </w:rPr>
      </w:pPr>
    </w:p>
    <w:p w14:paraId="6086D4BC">
      <w:pPr>
        <w:pStyle w:val="102"/>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7.12.2 Serão aceitos registros de CNPJ de licitante matriz e filial com diferenças de números de documentos pertinentes ao CND e ao CRF/FGTS, quando for comprovada a centralização do recolhimento dessas contribuições.</w:t>
      </w:r>
    </w:p>
    <w:p w14:paraId="2F9C1A8C">
      <w:pPr>
        <w:pStyle w:val="102"/>
        <w:spacing w:before="57" w:beforeLines="24" w:after="57" w:afterLines="24" w:line="288" w:lineRule="auto"/>
        <w:ind w:left="0" w:firstLine="0"/>
        <w:contextualSpacing/>
        <w:rPr>
          <w:rFonts w:ascii="Times New Roman" w:hAnsi="Times New Roman" w:cs="Times New Roman"/>
          <w:sz w:val="24"/>
          <w:szCs w:val="24"/>
        </w:rPr>
      </w:pPr>
    </w:p>
    <w:p w14:paraId="12B33611">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7.13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002DEF6A">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D4662B0">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1044E816">
      <w:pPr>
        <w:pStyle w:val="98"/>
        <w:spacing w:before="57" w:beforeLines="24" w:after="57" w:afterLines="24" w:line="288" w:lineRule="auto"/>
        <w:ind w:left="0" w:firstLine="0"/>
        <w:contextualSpacing/>
        <w:rPr>
          <w:rFonts w:ascii="Times New Roman" w:hAnsi="Times New Roman" w:cs="Times New Roman"/>
          <w:sz w:val="24"/>
          <w:szCs w:val="24"/>
        </w:rPr>
      </w:pPr>
    </w:p>
    <w:p w14:paraId="3E88564E">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0F63BEAA">
      <w:pPr>
        <w:pStyle w:val="98"/>
        <w:spacing w:before="57" w:beforeLines="24" w:after="57" w:afterLines="24" w:line="288" w:lineRule="auto"/>
        <w:ind w:left="0" w:firstLine="0"/>
        <w:contextualSpacing/>
        <w:rPr>
          <w:rFonts w:ascii="Times New Roman" w:hAnsi="Times New Roman" w:cs="Times New Roman"/>
          <w:sz w:val="24"/>
          <w:szCs w:val="24"/>
        </w:rPr>
      </w:pPr>
    </w:p>
    <w:p w14:paraId="00962873">
      <w:pPr>
        <w:pStyle w:val="98"/>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1B9A6918">
      <w:pPr>
        <w:pStyle w:val="98"/>
        <w:spacing w:before="57" w:beforeLines="24" w:after="57" w:afterLines="24" w:line="288" w:lineRule="auto"/>
        <w:ind w:left="0" w:firstLine="0"/>
        <w:contextualSpacing/>
        <w:rPr>
          <w:rFonts w:ascii="Times New Roman" w:hAnsi="Times New Roman" w:cs="Times New Roman"/>
          <w:sz w:val="24"/>
          <w:szCs w:val="24"/>
        </w:rPr>
      </w:pPr>
    </w:p>
    <w:bookmarkEnd w:id="31"/>
    <w:p w14:paraId="0DBE82BB">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Quando permitida a participação de empresas estrangeiras que não funcionem no País, as exigências de habilitação serão atendidas mediante documentos equivalentes, inicialmente apresentados em tradução livre.</w:t>
      </w:r>
    </w:p>
    <w:p w14:paraId="60AA0A13">
      <w:pPr>
        <w:pStyle w:val="98"/>
        <w:spacing w:before="57" w:beforeLines="24" w:after="57" w:afterLines="24" w:line="288" w:lineRule="auto"/>
        <w:ind w:left="0" w:firstLine="0"/>
        <w:contextualSpacing/>
        <w:rPr>
          <w:rFonts w:ascii="Times New Roman" w:hAnsi="Times New Roman" w:cs="Times New Roman"/>
          <w:sz w:val="24"/>
          <w:szCs w:val="24"/>
        </w:rPr>
      </w:pPr>
    </w:p>
    <w:p w14:paraId="76515DB1">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7.15.1 O licitante deverá ter procurador residente e domiciliado no Brasil, com poderes para receber citação, intimação e responder administrativa e judicialmente por seus atos, juntando o instrumento de mandato com os documentos de habilitação.</w:t>
      </w:r>
    </w:p>
    <w:p w14:paraId="2A844F48">
      <w:pPr>
        <w:pStyle w:val="102"/>
        <w:spacing w:before="57" w:beforeLines="24" w:after="57" w:afterLines="24" w:line="288" w:lineRule="auto"/>
        <w:ind w:left="0" w:firstLine="0"/>
        <w:contextualSpacing/>
        <w:rPr>
          <w:rFonts w:ascii="Times New Roman" w:hAnsi="Times New Roman" w:cs="Times New Roman"/>
          <w:sz w:val="24"/>
          <w:szCs w:val="24"/>
        </w:rPr>
      </w:pPr>
    </w:p>
    <w:p w14:paraId="30E239ED">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71D4F87C">
      <w:pPr>
        <w:pStyle w:val="102"/>
        <w:spacing w:before="57" w:beforeLines="24" w:after="57" w:afterLines="24" w:line="288" w:lineRule="auto"/>
        <w:ind w:left="0" w:firstLine="0"/>
        <w:contextualSpacing/>
        <w:rPr>
          <w:rFonts w:ascii="Times New Roman" w:hAnsi="Times New Roman" w:cs="Times New Roman"/>
          <w:sz w:val="24"/>
          <w:szCs w:val="24"/>
        </w:rPr>
      </w:pPr>
    </w:p>
    <w:p w14:paraId="124DA08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71397FB">
      <w:pPr>
        <w:pStyle w:val="98"/>
        <w:spacing w:before="57" w:beforeLines="24" w:after="57" w:afterLines="24" w:line="288" w:lineRule="auto"/>
        <w:ind w:left="0" w:firstLine="0"/>
        <w:contextualSpacing/>
        <w:rPr>
          <w:rFonts w:ascii="Times New Roman" w:hAnsi="Times New Roman" w:cs="Times New Roman"/>
          <w:sz w:val="24"/>
          <w:szCs w:val="24"/>
        </w:rPr>
      </w:pPr>
    </w:p>
    <w:p w14:paraId="55BA6295">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6A64C545">
      <w:pPr>
        <w:pStyle w:val="102"/>
        <w:spacing w:before="57" w:beforeLines="24" w:after="57" w:afterLines="24" w:line="288" w:lineRule="auto"/>
        <w:ind w:left="0" w:firstLine="0"/>
        <w:contextualSpacing/>
        <w:rPr>
          <w:rFonts w:ascii="Times New Roman" w:hAnsi="Times New Roman" w:cs="Times New Roman"/>
          <w:sz w:val="24"/>
          <w:szCs w:val="24"/>
        </w:rPr>
      </w:pPr>
    </w:p>
    <w:p w14:paraId="36F0CB6C">
      <w:pPr>
        <w:spacing w:line="288" w:lineRule="auto"/>
        <w:contextualSpacing/>
        <w:jc w:val="both"/>
        <w:rPr>
          <w:color w:val="000000"/>
          <w:sz w:val="24"/>
          <w:szCs w:val="24"/>
        </w:rPr>
      </w:pPr>
      <w:r>
        <w:rPr>
          <w:color w:val="000000"/>
          <w:sz w:val="24"/>
          <w:szCs w:val="24"/>
        </w:rPr>
        <w:t>7.17 As certidões valerão nos prazos que lhes são próprios. Inexistindo esse prazo, reputar-se-ão válidas por 90 (noventa) dias, contados de sua expedição.</w:t>
      </w:r>
    </w:p>
    <w:p w14:paraId="4EB8C287">
      <w:pPr>
        <w:spacing w:line="288" w:lineRule="auto"/>
        <w:contextualSpacing/>
        <w:jc w:val="both"/>
        <w:rPr>
          <w:color w:val="000000"/>
          <w:sz w:val="24"/>
          <w:szCs w:val="24"/>
        </w:rPr>
      </w:pPr>
    </w:p>
    <w:p w14:paraId="210B9C26">
      <w:pPr>
        <w:spacing w:line="288" w:lineRule="auto"/>
        <w:contextualSpacing/>
        <w:jc w:val="both"/>
        <w:rPr>
          <w:color w:val="000000"/>
          <w:sz w:val="24"/>
          <w:szCs w:val="24"/>
        </w:rPr>
      </w:pPr>
      <w:r>
        <w:rPr>
          <w:color w:val="000000"/>
          <w:sz w:val="24"/>
          <w:szCs w:val="24"/>
        </w:rPr>
        <w:t>7.17.1 Caso seja feita a opção pela opção da certidão referida no item 8.6.2, esta seguirá, como prazo de validade, a sistemática própria estabelecida em âmbito federal constante do SICAF.</w:t>
      </w:r>
    </w:p>
    <w:p w14:paraId="55720EE2">
      <w:pPr>
        <w:pStyle w:val="10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 DA IMPUGNAÇÃO AO EDITAL, DO PEDIDO DE ESCLARECIMENTO E DOS RECURSOS</w:t>
      </w:r>
    </w:p>
    <w:p w14:paraId="13B1CCF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271109E8">
      <w:pPr>
        <w:pStyle w:val="98"/>
        <w:spacing w:before="288" w:beforeLines="120" w:after="288" w:afterLines="120" w:line="288" w:lineRule="auto"/>
        <w:ind w:left="0" w:firstLine="0"/>
        <w:contextualSpacing/>
        <w:rPr>
          <w:rFonts w:ascii="Times New Roman" w:hAnsi="Times New Roman" w:cs="Times New Roman"/>
          <w:sz w:val="24"/>
          <w:szCs w:val="24"/>
        </w:rPr>
      </w:pPr>
    </w:p>
    <w:p w14:paraId="53B5CB8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04D76AD">
      <w:pPr>
        <w:pStyle w:val="98"/>
        <w:spacing w:before="288" w:beforeLines="120" w:after="288" w:afterLines="120" w:line="288" w:lineRule="auto"/>
        <w:ind w:left="0" w:firstLine="0"/>
        <w:contextualSpacing/>
        <w:rPr>
          <w:rFonts w:ascii="Times New Roman" w:hAnsi="Times New Roman" w:cs="Times New Roman"/>
          <w:sz w:val="24"/>
          <w:szCs w:val="24"/>
        </w:rPr>
      </w:pPr>
    </w:p>
    <w:p w14:paraId="36CE77A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8.1.2 A resposta à impugnação ou ao pedido de esclarecimento será divulgado em sítio eletrônico oficial no prazo de até 3 (três) dias úteis, limitado ao último dia útil anterior à data da abertura do certame.</w:t>
      </w:r>
    </w:p>
    <w:p w14:paraId="29D13356">
      <w:pPr>
        <w:pStyle w:val="98"/>
        <w:spacing w:before="288" w:beforeLines="120" w:after="288" w:afterLines="120" w:line="288" w:lineRule="auto"/>
        <w:ind w:left="0" w:firstLine="0"/>
        <w:contextualSpacing/>
        <w:rPr>
          <w:rFonts w:ascii="Times New Roman" w:hAnsi="Times New Roman" w:cs="Times New Roman"/>
          <w:sz w:val="24"/>
          <w:szCs w:val="24"/>
        </w:rPr>
      </w:pPr>
    </w:p>
    <w:p w14:paraId="59AB412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8.1.3 As impugnações e pedidos de esclarecimentos não suspendem os prazos previstos no certame.</w:t>
      </w:r>
    </w:p>
    <w:p w14:paraId="19EF9059">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A concessão de efeito suspensivo à impugnação é medida excepcional e deverá ser motivada pela autoridade competente, nos autos do processo de licitação.</w:t>
      </w:r>
    </w:p>
    <w:p w14:paraId="168160A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Modificado substancialmente o edital como resultado da resposta à impugnação ou ao pedido de esclarecimento, será definida e publicada nova data para a realização do certame.</w:t>
      </w:r>
    </w:p>
    <w:p w14:paraId="7C64C019">
      <w:pPr>
        <w:pStyle w:val="98"/>
        <w:spacing w:before="57" w:beforeLines="24" w:after="57" w:afterLines="24" w:line="288" w:lineRule="auto"/>
        <w:ind w:left="0" w:firstLine="0"/>
        <w:contextualSpacing/>
        <w:rPr>
          <w:rFonts w:ascii="Times New Roman" w:hAnsi="Times New Roman" w:cs="Times New Roman"/>
          <w:sz w:val="24"/>
          <w:szCs w:val="24"/>
        </w:rPr>
      </w:pPr>
    </w:p>
    <w:p w14:paraId="402A877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3A9B3718">
      <w:pPr>
        <w:pStyle w:val="102"/>
        <w:spacing w:before="57" w:beforeLines="24" w:after="57" w:afterLines="24" w:line="288" w:lineRule="auto"/>
        <w:ind w:left="0" w:firstLine="0"/>
        <w:contextualSpacing/>
        <w:rPr>
          <w:rFonts w:ascii="Times New Roman" w:hAnsi="Times New Roman" w:cs="Times New Roman"/>
          <w:sz w:val="24"/>
          <w:szCs w:val="24"/>
        </w:rPr>
      </w:pPr>
    </w:p>
    <w:p w14:paraId="6F9D7845">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71BE622">
      <w:pPr>
        <w:pStyle w:val="102"/>
        <w:spacing w:before="57" w:beforeLines="24" w:after="57" w:afterLines="24" w:line="288" w:lineRule="auto"/>
        <w:ind w:left="0" w:firstLine="0"/>
        <w:contextualSpacing/>
        <w:rPr>
          <w:rFonts w:ascii="Times New Roman" w:hAnsi="Times New Roman" w:cs="Times New Roman"/>
          <w:sz w:val="24"/>
          <w:szCs w:val="24"/>
        </w:rPr>
      </w:pPr>
    </w:p>
    <w:p w14:paraId="54584B97">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A58C442">
      <w:pPr>
        <w:pStyle w:val="102"/>
        <w:spacing w:before="57" w:beforeLines="24" w:after="57" w:afterLines="24" w:line="288" w:lineRule="auto"/>
        <w:ind w:left="0" w:firstLine="0"/>
        <w:contextualSpacing/>
        <w:rPr>
          <w:rFonts w:ascii="Times New Roman" w:hAnsi="Times New Roman" w:cs="Times New Roman"/>
          <w:sz w:val="24"/>
          <w:szCs w:val="24"/>
        </w:rPr>
      </w:pPr>
    </w:p>
    <w:p w14:paraId="1A6E011B">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092D1638">
      <w:pPr>
        <w:pStyle w:val="102"/>
        <w:spacing w:before="57" w:beforeLines="24" w:after="57" w:afterLines="24" w:line="288" w:lineRule="auto"/>
        <w:ind w:left="0" w:firstLine="0"/>
        <w:contextualSpacing/>
        <w:rPr>
          <w:rFonts w:ascii="Times New Roman" w:hAnsi="Times New Roman" w:cs="Times New Roman"/>
          <w:sz w:val="24"/>
          <w:szCs w:val="24"/>
        </w:rPr>
      </w:pPr>
    </w:p>
    <w:p w14:paraId="21BA18AB">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8.2.2 Os demais licitantes ficarão intimados para, se desejarem, apresentar suas contrarrazões, no prazo de três dias úteis, contado da data de intimação pessoal ou de divulgação da interposição do recurso.</w:t>
      </w:r>
    </w:p>
    <w:p w14:paraId="7B51260B">
      <w:pPr>
        <w:pStyle w:val="102"/>
        <w:spacing w:before="57" w:beforeLines="24" w:after="57" w:afterLines="24" w:line="288" w:lineRule="auto"/>
        <w:ind w:left="0" w:firstLine="0"/>
        <w:contextualSpacing/>
        <w:rPr>
          <w:rFonts w:ascii="Times New Roman" w:hAnsi="Times New Roman" w:cs="Times New Roman"/>
          <w:sz w:val="24"/>
          <w:szCs w:val="24"/>
        </w:rPr>
      </w:pPr>
    </w:p>
    <w:p w14:paraId="732D7099">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8.2.3 Os recursos interpostos fora do prazo não serão conhecidos.</w:t>
      </w:r>
    </w:p>
    <w:p w14:paraId="3145A07C">
      <w:pPr>
        <w:pStyle w:val="102"/>
        <w:spacing w:before="57" w:beforeLines="24" w:after="57" w:afterLines="24" w:line="288" w:lineRule="auto"/>
        <w:ind w:left="0" w:firstLine="0"/>
        <w:contextualSpacing/>
        <w:rPr>
          <w:rFonts w:ascii="Times New Roman" w:hAnsi="Times New Roman" w:cs="Times New Roman"/>
          <w:sz w:val="24"/>
          <w:szCs w:val="24"/>
        </w:rPr>
      </w:pPr>
    </w:p>
    <w:p w14:paraId="572A751C">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12DB98A1">
      <w:pPr>
        <w:pStyle w:val="98"/>
        <w:spacing w:before="57" w:beforeLines="24" w:after="57" w:afterLines="24" w:line="288" w:lineRule="auto"/>
        <w:ind w:left="0" w:firstLine="0"/>
        <w:contextualSpacing/>
        <w:rPr>
          <w:rFonts w:ascii="Times New Roman" w:hAnsi="Times New Roman" w:cs="Times New Roman"/>
          <w:sz w:val="24"/>
          <w:szCs w:val="24"/>
        </w:rPr>
      </w:pPr>
    </w:p>
    <w:p w14:paraId="0D7B09B8">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8.2.5 Será assegurado ao licitante vista dos elementos indispensáveis à defesa de seus interesses.</w:t>
      </w:r>
    </w:p>
    <w:p w14:paraId="44309848">
      <w:pPr>
        <w:pStyle w:val="98"/>
        <w:spacing w:before="57" w:beforeLines="24" w:after="57" w:afterLines="24" w:line="288" w:lineRule="auto"/>
        <w:ind w:left="0" w:firstLine="0"/>
        <w:contextualSpacing/>
        <w:rPr>
          <w:rFonts w:ascii="Times New Roman" w:hAnsi="Times New Roman" w:cs="Times New Roman"/>
          <w:sz w:val="24"/>
          <w:szCs w:val="24"/>
        </w:rPr>
      </w:pPr>
    </w:p>
    <w:p w14:paraId="174EE417">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8.2.6 O recurso e o pedido de reconsideração terão efeito suspensivo do ato ou da decisão recorrida até que sobrevenha decisão final da autoridade competente.</w:t>
      </w:r>
    </w:p>
    <w:p w14:paraId="48910957">
      <w:pPr>
        <w:pStyle w:val="98"/>
        <w:spacing w:before="57" w:beforeLines="24" w:after="57" w:afterLines="24" w:line="288" w:lineRule="auto"/>
        <w:ind w:left="0" w:firstLine="0"/>
        <w:contextualSpacing/>
        <w:rPr>
          <w:rFonts w:ascii="Times New Roman" w:hAnsi="Times New Roman" w:cs="Times New Roman"/>
          <w:sz w:val="24"/>
          <w:szCs w:val="24"/>
        </w:rPr>
      </w:pPr>
    </w:p>
    <w:p w14:paraId="7F203747">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8.2.7 O acolhimento do recurso invalida tão somente os atos insuscetíveis de aproveitamento. </w:t>
      </w:r>
    </w:p>
    <w:p w14:paraId="11F5957C">
      <w:pPr>
        <w:pStyle w:val="96"/>
        <w:spacing w:before="0" w:beforeAutospacing="0" w:after="0" w:afterAutospacing="0" w:line="288" w:lineRule="auto"/>
        <w:contextualSpacing/>
        <w:jc w:val="both"/>
        <w:rPr>
          <w:rFonts w:eastAsia="Calibri"/>
          <w:b/>
          <w:bCs/>
          <w:lang w:eastAsia="en-US"/>
        </w:rPr>
      </w:pPr>
    </w:p>
    <w:p w14:paraId="15745EBC">
      <w:pPr>
        <w:spacing w:line="288" w:lineRule="auto"/>
        <w:contextualSpacing/>
        <w:jc w:val="both"/>
        <w:rPr>
          <w:b/>
          <w:bCs/>
          <w:sz w:val="24"/>
          <w:szCs w:val="24"/>
        </w:rPr>
      </w:pPr>
      <w:r>
        <w:rPr>
          <w:b/>
          <w:bCs/>
          <w:sz w:val="24"/>
          <w:szCs w:val="24"/>
        </w:rPr>
        <w:t>9. DO ENCERRAMENTO DA LICITAÇÃO</w:t>
      </w:r>
    </w:p>
    <w:p w14:paraId="2C631DFA">
      <w:pPr>
        <w:spacing w:line="288" w:lineRule="auto"/>
        <w:contextualSpacing/>
        <w:jc w:val="both"/>
        <w:rPr>
          <w:sz w:val="24"/>
          <w:szCs w:val="24"/>
        </w:rPr>
      </w:pPr>
    </w:p>
    <w:p w14:paraId="7181C4D4">
      <w:pPr>
        <w:spacing w:line="288" w:lineRule="auto"/>
        <w:contextualSpacing/>
        <w:jc w:val="both"/>
        <w:rPr>
          <w:sz w:val="24"/>
          <w:szCs w:val="24"/>
        </w:rPr>
      </w:pPr>
      <w:r>
        <w:rPr>
          <w:sz w:val="24"/>
          <w:szCs w:val="24"/>
        </w:rPr>
        <w:t>9.1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1A68DE06">
      <w:pPr>
        <w:pStyle w:val="96"/>
        <w:spacing w:before="0" w:beforeAutospacing="0" w:after="0" w:afterAutospacing="0" w:line="288" w:lineRule="auto"/>
        <w:contextualSpacing/>
        <w:jc w:val="both"/>
        <w:rPr>
          <w:rFonts w:eastAsia="Calibri" w:asciiTheme="minorHAnsi" w:hAnsiTheme="minorHAnsi" w:cstheme="minorHAnsi"/>
          <w:b/>
          <w:bCs/>
          <w:lang w:eastAsia="en-US"/>
        </w:rPr>
      </w:pPr>
    </w:p>
    <w:p w14:paraId="441A39F6">
      <w:pPr>
        <w:pStyle w:val="96"/>
        <w:spacing w:before="0" w:beforeAutospacing="0" w:after="0" w:afterAutospacing="0" w:line="288" w:lineRule="auto"/>
        <w:contextualSpacing/>
        <w:jc w:val="both"/>
        <w:rPr>
          <w:rFonts w:eastAsia="Calibri"/>
          <w:b/>
          <w:bCs/>
          <w:lang w:eastAsia="en-US"/>
        </w:rPr>
      </w:pPr>
      <w:r>
        <w:rPr>
          <w:rFonts w:eastAsia="Calibri"/>
          <w:b/>
          <w:bCs/>
          <w:lang w:eastAsia="en-US"/>
        </w:rPr>
        <w:t xml:space="preserve">10. DA SUBCONTRATAÇÃO </w:t>
      </w:r>
    </w:p>
    <w:p w14:paraId="3D2E6B88">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10.1 Não será admitida a subcontratação do objeto contratual.</w:t>
      </w:r>
    </w:p>
    <w:p w14:paraId="38E02017">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93BEA7A">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11. DA GARANTIA</w:t>
      </w:r>
    </w:p>
    <w:p w14:paraId="5A9EEECF">
      <w:pPr>
        <w:pStyle w:val="98"/>
        <w:spacing w:before="288" w:beforeLines="120" w:after="288" w:afterLines="120" w:line="288" w:lineRule="auto"/>
        <w:ind w:left="4537" w:right="565" w:firstLine="0"/>
        <w:contextualSpacing/>
        <w:rPr>
          <w:rFonts w:ascii="Times New Roman" w:hAnsi="Times New Roman" w:cs="Times New Roman"/>
          <w:sz w:val="24"/>
          <w:szCs w:val="24"/>
        </w:rPr>
      </w:pPr>
    </w:p>
    <w:p w14:paraId="1E3C66A6">
      <w:pPr>
        <w:pStyle w:val="98"/>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 Haverá exigência de garantia contratual da execução.</w:t>
      </w:r>
    </w:p>
    <w:p w14:paraId="0E3AB3EB">
      <w:pPr>
        <w:pStyle w:val="102"/>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2" w:name="_Hlk152767454"/>
      <w:r>
        <w:rPr>
          <w:rFonts w:ascii="Times New Roman" w:hAnsi="Times New Roman" w:cs="Times New Roman"/>
          <w:color w:val="auto"/>
          <w:sz w:val="24"/>
          <w:szCs w:val="24"/>
        </w:rPr>
        <w:t>11.1.1 Caso o prazo de vigência do contrato seja inferior a um ano</w:t>
      </w:r>
      <w:bookmarkEnd w:id="32"/>
      <w:r>
        <w:rPr>
          <w:rFonts w:ascii="Times New Roman" w:hAnsi="Times New Roman" w:cs="Times New Roman"/>
          <w:color w:val="auto"/>
          <w:sz w:val="24"/>
          <w:szCs w:val="24"/>
        </w:rPr>
        <w:t xml:space="preserve">, a garantia prevista no item 15.1 será calculada sobre o valor total do Contrato. </w:t>
      </w:r>
    </w:p>
    <w:p w14:paraId="7D14E807">
      <w:pPr>
        <w:pStyle w:val="102"/>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 Na forma do art. 101 da Lei nº 14.133/2021, nos casos de contratos que impliquem a entrega de bens pela Administração, dos quais o contratado ficará depositário, o valor desses bens deverá ser acrescido ao valor da garantia.</w:t>
      </w:r>
    </w:p>
    <w:p w14:paraId="26165473">
      <w:pPr>
        <w:pStyle w:val="102"/>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 O contratado poderá optar pelas seguintes modalidades de garantia:</w:t>
      </w:r>
    </w:p>
    <w:p w14:paraId="41B275A7">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11.2.1 caução em dinheiro ou em títulos da dívida pública;</w:t>
      </w:r>
    </w:p>
    <w:p w14:paraId="76585225">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11.2.2 seguro-garantia; </w:t>
      </w:r>
    </w:p>
    <w:p w14:paraId="35544469">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11.2.3 fiança bancária; e</w:t>
      </w:r>
    </w:p>
    <w:p w14:paraId="7CD14A6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11.2.4 título de capitalização custeado por pagamento único, com resgate pelo valor total.</w:t>
      </w:r>
    </w:p>
    <w:p w14:paraId="04215972">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 Qualquer que seja a modalidade escolhida pelo contratado, a garantia assegurará o pagamento de:</w:t>
      </w:r>
    </w:p>
    <w:p w14:paraId="0E712B15">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11.3.1 prejuízos advindos do não cumprimento do objeto do Contrato e do não adimplemento das demais obrigações neste previstas;</w:t>
      </w:r>
    </w:p>
    <w:p w14:paraId="268E6EB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11.3.2 multas moratórias, compensatórias e administrativas aplicadas pela Administração ao contratado; e</w:t>
      </w:r>
    </w:p>
    <w:p w14:paraId="413B25A5">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11.3.3 obrigações trabalhistas e previdenciárias de qualquer natureza, assim como as obrigações de regularidade perante o FGTS, não adimplidas pelo contratado, quando couber.</w:t>
      </w:r>
    </w:p>
    <w:p w14:paraId="152014B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11.4 A garantia, qualquer que seja a modalidade escolhida, terá validade durante a vigência do Contrato e por mais 90 (noventa) dias após o término deste prazo de vigência.  </w:t>
      </w:r>
    </w:p>
    <w:p w14:paraId="0AC882C9">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11.5 Na hipótese de suspensão do Contrato por ordem ou inadimplemento da Administração, o contratado ficará desobrigado de renovar a garantia ou de endossar a apólice de seguro até a ordem de reinício da execução ou o adimplemento pela Administração.</w:t>
      </w:r>
    </w:p>
    <w:p w14:paraId="494E109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12.2.</w:t>
      </w:r>
    </w:p>
    <w:p w14:paraId="52E04EB2">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 Caso oferecida a modalidade de seguro-garantia, sua apresentação deve ocorrer em 1 (um) mês, contado da data de homologação da licitação e anterior à assinatura do Contrato, e observar-se-ão as seguintes condições:</w:t>
      </w:r>
    </w:p>
    <w:p w14:paraId="0237DF94">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11.7.1 a apólice permanecerá em vigor mesmo que o contratado não pague o prêmio nas datas convencionadas;</w:t>
      </w:r>
    </w:p>
    <w:p w14:paraId="3488ED3C">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11.7.2 a apólice deverá acompanhar as modificações referentes à vigência do Contrato principal, mediante a emissão do respectivo endosso pela seguradora;</w:t>
      </w:r>
    </w:p>
    <w:p w14:paraId="0401E0AF">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11.7.3 será permitida a substituição da apólice na data de renovação ou de aniversário, desde que mantidas as condições e coberturas da apólice vigente e nenhum período fique descoberto, ressalvado o disposto no item 15.5 deste Edital; e</w:t>
      </w:r>
    </w:p>
    <w:p w14:paraId="5715416F">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11.7.4 a apólice somente será aceita se contemplar todos os eventos indicados no item 15.3, observada a legislação que rege a matéria.</w:t>
      </w:r>
    </w:p>
    <w:p w14:paraId="657C3170">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8818807">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4C4C556D">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27760B1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7695538A">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 A inobservância do prazo fixado para apresentação, reposição, suplementação ou renovação da garantia acarretará a aplicação de multa e/ou outras penalidades, na forma disposta no Contrato.</w:t>
      </w:r>
    </w:p>
    <w:p w14:paraId="59B2C693">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11.12.1 O atraso superior a 25 (vinte e cinco) dias autoriza o contratante a promover a rescisão do contrato por descumprimento ou cumprimento irregular de suas cláusulas, com a aplicação das sanções cabíveis.</w:t>
      </w:r>
    </w:p>
    <w:p w14:paraId="3A78CF8B">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11.13 O contratante executará a garantia na forma prevista na legislação que rege a matéria.</w:t>
      </w:r>
    </w:p>
    <w:p w14:paraId="47BECEA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11.14 O emitente da garantia ofertada pelo contratado deverá ser notificado pelo contratante quanto ao início de processo administrativo para apuração de descumprimento de cláusulas contratuais.</w:t>
      </w:r>
    </w:p>
    <w:p w14:paraId="7E0BB21D">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11.14.1 O garantidor não é parte para figurar em processo administrativo instaurado pelo contratante com o objetivo de apurar prejuízos e/ou aplicar sanções ao contratado.</w:t>
      </w:r>
    </w:p>
    <w:p w14:paraId="21BCF8A0">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699ACFCA">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73226507">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11.16.1 A garantia somente será liberada ou restituída, após a fiel execução do Contrato ou pela sua extinção, por culpa exclusiva da Administração, ou quando assim convencionado, em se tratando de extinção consensual da contratação.</w:t>
      </w:r>
    </w:p>
    <w:p w14:paraId="098AA5EC">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11.17 O contratado autoriza o contratante a reter, a qualquer tempo, a garantia, na forma prevista no Edital e no Contrato. </w:t>
      </w:r>
    </w:p>
    <w:p w14:paraId="270C0343">
      <w:pPr>
        <w:pStyle w:val="96"/>
        <w:spacing w:before="0" w:beforeAutospacing="0" w:after="0" w:afterAutospacing="0" w:line="288" w:lineRule="auto"/>
        <w:contextualSpacing/>
        <w:jc w:val="both"/>
        <w:rPr>
          <w:rFonts w:eastAsia="Calibri" w:asciiTheme="minorHAnsi" w:hAnsiTheme="minorHAnsi" w:cstheme="minorHAnsi"/>
          <w:b/>
          <w:bCs/>
          <w:lang w:eastAsia="en-US"/>
        </w:rPr>
      </w:pPr>
    </w:p>
    <w:p w14:paraId="12E5E17B">
      <w:pPr>
        <w:pStyle w:val="96"/>
        <w:spacing w:before="0" w:beforeAutospacing="0" w:after="0" w:afterAutospacing="0" w:line="288" w:lineRule="auto"/>
        <w:contextualSpacing/>
        <w:jc w:val="both"/>
        <w:rPr>
          <w:rFonts w:eastAsia="Calibri"/>
          <w:b/>
          <w:bCs/>
          <w:lang w:eastAsia="en-US"/>
        </w:rPr>
      </w:pPr>
      <w:r>
        <w:rPr>
          <w:rFonts w:eastAsia="Calibri"/>
          <w:b/>
          <w:bCs/>
          <w:lang w:eastAsia="en-US"/>
        </w:rPr>
        <w:t>12. PAGAMENTO</w:t>
      </w:r>
    </w:p>
    <w:p w14:paraId="1807F1B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3D1D97F">
      <w:pPr>
        <w:pStyle w:val="98"/>
        <w:spacing w:before="288" w:beforeLines="120" w:after="288" w:afterLines="120" w:line="288" w:lineRule="auto"/>
        <w:ind w:left="0" w:firstLine="0"/>
        <w:contextualSpacing/>
        <w:rPr>
          <w:rFonts w:ascii="Times New Roman" w:hAnsi="Times New Roman" w:cs="Times New Roman"/>
          <w:sz w:val="24"/>
          <w:szCs w:val="24"/>
        </w:rPr>
      </w:pPr>
    </w:p>
    <w:p w14:paraId="24919DF4">
      <w:pPr>
        <w:pStyle w:val="98"/>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12.2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016551B1">
      <w:pPr>
        <w:pStyle w:val="98"/>
        <w:spacing w:before="288" w:beforeLines="120" w:after="288" w:afterLines="120" w:line="288" w:lineRule="auto"/>
        <w:ind w:left="0" w:firstLine="0"/>
        <w:contextualSpacing/>
        <w:rPr>
          <w:rFonts w:ascii="Times New Roman" w:hAnsi="Times New Roman" w:cs="Times New Roman"/>
          <w:sz w:val="24"/>
          <w:szCs w:val="24"/>
        </w:rPr>
      </w:pPr>
    </w:p>
    <w:p w14:paraId="26FBA1A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1E767AC3">
      <w:pPr>
        <w:pStyle w:val="100"/>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12.3.1 Quando houver glosa parcial do objeto, o contratante deverá comunicar ao contratado para que emita Nota Fiscal ou Fatura com o valor exato dimensionado.</w:t>
      </w:r>
    </w:p>
    <w:p w14:paraId="4250550E">
      <w:pPr>
        <w:pStyle w:val="98"/>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 xml:space="preserve">12.4 O contratado deverá encaminhar a Nota Fiscal ou Fatura para pagamento à Prefeitura Municipal de Valença, Secretaria Municipal de Saúde, situada na Rua Dr. Figueiredo, nº 320 - Centro na cidade do Valença, no Estado do Rio de Janeiro, e-mail </w:t>
      </w:r>
      <w:r>
        <w:rPr>
          <w:rFonts w:ascii="Times New Roman" w:hAnsi="Times New Roman" w:cs="Times New Roman"/>
          <w:i/>
          <w:color w:val="558ED5" w:themeColor="text2" w:themeTint="99"/>
          <w:sz w:val="24"/>
          <w:szCs w:val="24"/>
          <w:u w:val="single"/>
          <w14:textFill>
            <w14:solidFill>
              <w14:schemeClr w14:val="tx2">
                <w14:lumMod w14:val="60000"/>
                <w14:lumOff w14:val="40000"/>
              </w14:schemeClr>
            </w14:solidFill>
          </w14:textFill>
        </w:rPr>
        <w:t>smscompras@yahoo.com.br</w:t>
      </w:r>
    </w:p>
    <w:p w14:paraId="1EDBE3D9">
      <w:pPr>
        <w:pStyle w:val="98"/>
        <w:spacing w:line="288" w:lineRule="auto"/>
        <w:ind w:left="0" w:firstLine="0"/>
        <w:contextualSpacing/>
        <w:rPr>
          <w:rFonts w:ascii="Times New Roman" w:hAnsi="Times New Roman" w:cs="Times New Roman"/>
          <w:sz w:val="24"/>
          <w:szCs w:val="24"/>
        </w:rPr>
      </w:pPr>
    </w:p>
    <w:p w14:paraId="74C0D13F">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12.5 </w:t>
      </w:r>
      <w:bookmarkStart w:id="33" w:name="_Hlk178774483"/>
      <w:r>
        <w:rPr>
          <w:rFonts w:ascii="Times New Roman" w:hAnsi="Times New Roman" w:cs="Times New Roman"/>
          <w:sz w:val="24"/>
          <w:szCs w:val="24"/>
        </w:rPr>
        <w:t xml:space="preserve">Uma vez recebidos os documentos mencionados no item 16.4, o órgão competente deverá verificar: </w:t>
      </w:r>
      <w:bookmarkEnd w:id="33"/>
    </w:p>
    <w:p w14:paraId="242860CA">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C15E572">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2F102BDE">
      <w:pPr>
        <w:pStyle w:val="98"/>
        <w:spacing w:line="288" w:lineRule="auto"/>
        <w:ind w:left="0" w:firstLine="0"/>
        <w:contextualSpacing/>
        <w:rPr>
          <w:rFonts w:ascii="Times New Roman" w:hAnsi="Times New Roman" w:cs="Times New Roman"/>
          <w:sz w:val="24"/>
          <w:szCs w:val="24"/>
        </w:rPr>
      </w:pPr>
    </w:p>
    <w:p w14:paraId="1A6FBB3E">
      <w:pPr>
        <w:pStyle w:val="98"/>
        <w:spacing w:line="288" w:lineRule="auto"/>
        <w:ind w:left="0" w:firstLine="0"/>
        <w:contextualSpacing/>
        <w:rPr>
          <w:rFonts w:ascii="Times New Roman" w:hAnsi="Times New Roman" w:cs="Times New Roman"/>
          <w:sz w:val="24"/>
          <w:szCs w:val="24"/>
        </w:rPr>
      </w:pPr>
      <w:bookmarkStart w:id="34"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4B6EF9F6">
      <w:pPr>
        <w:pStyle w:val="98"/>
        <w:spacing w:line="288" w:lineRule="auto"/>
        <w:ind w:left="0" w:firstLine="0"/>
        <w:contextualSpacing/>
        <w:rPr>
          <w:rFonts w:ascii="Times New Roman" w:hAnsi="Times New Roman" w:cs="Times New Roman"/>
          <w:sz w:val="24"/>
          <w:szCs w:val="24"/>
        </w:rPr>
      </w:pPr>
    </w:p>
    <w:p w14:paraId="7B78344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4"/>
    <w:p w14:paraId="4D7B30F5">
      <w:pPr>
        <w:pStyle w:val="98"/>
        <w:spacing w:line="288" w:lineRule="auto"/>
        <w:ind w:left="0" w:firstLine="0"/>
        <w:contextualSpacing/>
        <w:rPr>
          <w:rFonts w:ascii="Times New Roman" w:hAnsi="Times New Roman" w:cs="Times New Roman"/>
          <w:sz w:val="24"/>
          <w:szCs w:val="24"/>
        </w:rPr>
      </w:pPr>
    </w:p>
    <w:p w14:paraId="0A120FD5">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71F61646">
      <w:pPr>
        <w:pStyle w:val="98"/>
        <w:spacing w:line="288" w:lineRule="auto"/>
        <w:ind w:left="0" w:firstLine="0"/>
        <w:contextualSpacing/>
        <w:rPr>
          <w:rFonts w:ascii="Times New Roman" w:hAnsi="Times New Roman" w:cs="Times New Roman"/>
          <w:sz w:val="24"/>
          <w:szCs w:val="24"/>
        </w:rPr>
      </w:pPr>
    </w:p>
    <w:p w14:paraId="08C1689B">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ED6A872">
      <w:pPr>
        <w:pStyle w:val="98"/>
        <w:spacing w:line="288" w:lineRule="auto"/>
        <w:ind w:left="0" w:firstLine="0"/>
        <w:contextualSpacing/>
        <w:rPr>
          <w:rFonts w:ascii="Times New Roman" w:hAnsi="Times New Roman" w:cs="Times New Roman"/>
          <w:sz w:val="24"/>
          <w:szCs w:val="24"/>
        </w:rPr>
      </w:pPr>
    </w:p>
    <w:p w14:paraId="0C0908B7">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12.5.3 Persistindo a irregularidade, o contratante deverá adotar as medidas necessárias à rescisão do Contrato nos autos do processo administrativo correspondente, assegurada ao contratado a ampla defesa.</w:t>
      </w:r>
    </w:p>
    <w:p w14:paraId="51A00C27">
      <w:pPr>
        <w:pStyle w:val="98"/>
        <w:spacing w:line="288" w:lineRule="auto"/>
        <w:ind w:left="0" w:firstLine="0"/>
        <w:contextualSpacing/>
        <w:rPr>
          <w:rFonts w:ascii="Times New Roman" w:hAnsi="Times New Roman" w:cs="Times New Roman"/>
          <w:sz w:val="24"/>
          <w:szCs w:val="24"/>
        </w:rPr>
      </w:pPr>
    </w:p>
    <w:p w14:paraId="03FF0C70">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12.5.4 Havendo a efetiva execução do objeto, os pagamentos serão realizados normalmente, até que se decida pela rescisão do Contrato, caso o contratado não regularize sua situação.</w:t>
      </w:r>
    </w:p>
    <w:p w14:paraId="6A8CD71D">
      <w:pPr>
        <w:pStyle w:val="98"/>
        <w:spacing w:line="288" w:lineRule="auto"/>
        <w:ind w:left="0" w:firstLine="0"/>
        <w:contextualSpacing/>
        <w:rPr>
          <w:rFonts w:ascii="Times New Roman" w:hAnsi="Times New Roman" w:cs="Times New Roman"/>
          <w:sz w:val="24"/>
          <w:szCs w:val="24"/>
        </w:rPr>
      </w:pPr>
    </w:p>
    <w:p w14:paraId="382556BE">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0B7D7D62">
      <w:pPr>
        <w:pStyle w:val="98"/>
        <w:spacing w:line="288" w:lineRule="auto"/>
        <w:ind w:left="0" w:firstLine="0"/>
        <w:contextualSpacing/>
        <w:rPr>
          <w:rFonts w:ascii="Times New Roman" w:hAnsi="Times New Roman" w:cs="Times New Roman"/>
          <w:sz w:val="24"/>
          <w:szCs w:val="24"/>
        </w:rPr>
      </w:pPr>
    </w:p>
    <w:p w14:paraId="683FE194">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75BDE7D1">
      <w:pPr>
        <w:pStyle w:val="98"/>
        <w:spacing w:line="288" w:lineRule="auto"/>
        <w:ind w:left="0" w:firstLine="0"/>
        <w:contextualSpacing/>
        <w:rPr>
          <w:rFonts w:ascii="Times New Roman" w:hAnsi="Times New Roman" w:cs="Times New Roman"/>
          <w:sz w:val="24"/>
          <w:szCs w:val="24"/>
        </w:rPr>
      </w:pPr>
    </w:p>
    <w:p w14:paraId="11734333">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12.7 Quando do pagamento, será efetuada a retenção tributária prevista na legislação aplicável.</w:t>
      </w:r>
    </w:p>
    <w:p w14:paraId="0DE5C230">
      <w:pPr>
        <w:pStyle w:val="98"/>
        <w:spacing w:line="288" w:lineRule="auto"/>
        <w:ind w:left="0" w:firstLine="0"/>
        <w:contextualSpacing/>
        <w:rPr>
          <w:rFonts w:ascii="Times New Roman" w:hAnsi="Times New Roman" w:cs="Times New Roman"/>
          <w:sz w:val="24"/>
          <w:szCs w:val="24"/>
        </w:rPr>
      </w:pPr>
    </w:p>
    <w:p w14:paraId="425769EE">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12.7.1 Independentemente do percentual de tributo inserido na planilha, no pagamento serão retidos na fonte os percentuais estabelecidos na legislação vigente.</w:t>
      </w:r>
    </w:p>
    <w:p w14:paraId="2E8795AC">
      <w:pPr>
        <w:pStyle w:val="98"/>
        <w:spacing w:line="288" w:lineRule="auto"/>
        <w:ind w:left="0" w:firstLine="0"/>
        <w:contextualSpacing/>
        <w:rPr>
          <w:rFonts w:ascii="Times New Roman" w:hAnsi="Times New Roman" w:cs="Times New Roman"/>
          <w:sz w:val="24"/>
          <w:szCs w:val="24"/>
        </w:rPr>
      </w:pPr>
    </w:p>
    <w:p w14:paraId="2285A288">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BB8F3F9">
      <w:pPr>
        <w:pStyle w:val="98"/>
        <w:spacing w:line="288" w:lineRule="auto"/>
        <w:ind w:left="0" w:firstLine="0"/>
        <w:contextualSpacing/>
        <w:rPr>
          <w:rFonts w:ascii="Times New Roman" w:hAnsi="Times New Roman" w:cs="Times New Roman"/>
          <w:sz w:val="24"/>
          <w:szCs w:val="24"/>
        </w:rPr>
      </w:pPr>
    </w:p>
    <w:p w14:paraId="01749CF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71B71708">
      <w:pPr>
        <w:pStyle w:val="98"/>
        <w:spacing w:line="288" w:lineRule="auto"/>
        <w:ind w:left="0" w:firstLine="0"/>
        <w:contextualSpacing/>
        <w:rPr>
          <w:rFonts w:ascii="Times New Roman" w:hAnsi="Times New Roman" w:cs="Times New Roman"/>
          <w:sz w:val="24"/>
          <w:szCs w:val="24"/>
        </w:rPr>
      </w:pPr>
    </w:p>
    <w:p w14:paraId="17FB838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26F2579F">
      <w:pPr>
        <w:pStyle w:val="98"/>
        <w:spacing w:line="288" w:lineRule="auto"/>
        <w:ind w:left="0" w:firstLine="0"/>
        <w:contextualSpacing/>
        <w:rPr>
          <w:rFonts w:ascii="Times New Roman" w:hAnsi="Times New Roman" w:cs="Times New Roman"/>
          <w:sz w:val="24"/>
          <w:szCs w:val="24"/>
        </w:rPr>
      </w:pPr>
    </w:p>
    <w:p w14:paraId="3A18265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12.10 Caso o Edital admita a subcontratação, os pagamentos aos subcontratados serão realizados diretamente pelo contratado, ficando vedada a emissão de empenho do contratante diretamente aos subcontratados.</w:t>
      </w:r>
    </w:p>
    <w:p w14:paraId="4B8468B8">
      <w:pPr>
        <w:pStyle w:val="98"/>
        <w:spacing w:line="288" w:lineRule="auto"/>
        <w:ind w:left="0" w:firstLine="0"/>
        <w:contextualSpacing/>
        <w:rPr>
          <w:rFonts w:ascii="Times New Roman" w:hAnsi="Times New Roman" w:cs="Times New Roman"/>
          <w:sz w:val="24"/>
          <w:szCs w:val="24"/>
        </w:rPr>
      </w:pPr>
    </w:p>
    <w:p w14:paraId="31B237C2">
      <w:pPr>
        <w:pStyle w:val="98"/>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12.10.1 A subcontratação porventura realizada será integralmente custeada pelo contratado.</w:t>
      </w:r>
    </w:p>
    <w:p w14:paraId="1D11C9F2">
      <w:pPr>
        <w:pStyle w:val="96"/>
        <w:spacing w:before="0" w:beforeAutospacing="0" w:after="0" w:afterAutospacing="0" w:line="288" w:lineRule="auto"/>
        <w:contextualSpacing/>
        <w:jc w:val="both"/>
        <w:rPr>
          <w:rFonts w:eastAsia="Calibri"/>
          <w:lang w:eastAsia="en-US"/>
        </w:rPr>
      </w:pPr>
    </w:p>
    <w:p w14:paraId="4E7D12CB">
      <w:pPr>
        <w:pStyle w:val="96"/>
        <w:spacing w:before="0" w:beforeAutospacing="0" w:after="0" w:afterAutospacing="0" w:line="288" w:lineRule="auto"/>
        <w:contextualSpacing/>
        <w:jc w:val="both"/>
        <w:rPr>
          <w:rFonts w:eastAsia="Calibri"/>
          <w:b/>
          <w:bCs/>
          <w:lang w:eastAsia="en-US"/>
        </w:rPr>
      </w:pPr>
      <w:r>
        <w:rPr>
          <w:rFonts w:eastAsia="Calibri"/>
          <w:b/>
          <w:bCs/>
          <w:lang w:eastAsia="en-US"/>
        </w:rPr>
        <w:t xml:space="preserve">13. PRAZO CONTRATUAL </w:t>
      </w:r>
    </w:p>
    <w:p w14:paraId="2F46D355">
      <w:pPr>
        <w:pStyle w:val="98"/>
        <w:spacing w:before="0" w:after="0" w:line="288" w:lineRule="auto"/>
        <w:ind w:left="0" w:firstLine="0"/>
        <w:contextualSpacing/>
        <w:rPr>
          <w:rFonts w:ascii="Times New Roman" w:hAnsi="Times New Roman" w:cs="Times New Roman"/>
          <w:sz w:val="24"/>
          <w:szCs w:val="24"/>
        </w:rPr>
      </w:pPr>
    </w:p>
    <w:p w14:paraId="4B2638B3">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1459F62F">
      <w:pPr>
        <w:pStyle w:val="98"/>
        <w:spacing w:after="0" w:line="288" w:lineRule="auto"/>
        <w:ind w:left="0" w:firstLine="0"/>
        <w:contextualSpacing/>
        <w:rPr>
          <w:rFonts w:ascii="Times New Roman" w:hAnsi="Times New Roman" w:cs="Times New Roman"/>
          <w:color w:val="auto"/>
          <w:sz w:val="24"/>
          <w:szCs w:val="24"/>
        </w:rPr>
      </w:pPr>
    </w:p>
    <w:p w14:paraId="5A4623AB">
      <w:pPr>
        <w:pStyle w:val="98"/>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13.2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FD3329C">
      <w:pPr>
        <w:pStyle w:val="98"/>
        <w:spacing w:after="0" w:line="288" w:lineRule="auto"/>
        <w:ind w:left="0" w:firstLine="0"/>
        <w:contextualSpacing/>
        <w:rPr>
          <w:rFonts w:ascii="Times New Roman" w:hAnsi="Times New Roman" w:cs="Times New Roman"/>
          <w:sz w:val="24"/>
          <w:szCs w:val="24"/>
        </w:rPr>
      </w:pPr>
    </w:p>
    <w:p w14:paraId="74495C31">
      <w:pPr>
        <w:pStyle w:val="96"/>
        <w:spacing w:before="0" w:beforeAutospacing="0" w:after="0" w:afterAutospacing="0" w:line="288" w:lineRule="auto"/>
        <w:contextualSpacing/>
        <w:jc w:val="both"/>
      </w:pPr>
      <w:r>
        <w:rPr>
          <w:rFonts w:eastAsia="Calibri"/>
          <w:b/>
          <w:bCs/>
          <w:lang w:eastAsia="en-US"/>
        </w:rPr>
        <w:t xml:space="preserve">14. REAJUSTE </w:t>
      </w:r>
    </w:p>
    <w:p w14:paraId="3D62B59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 Os preços contratados serão reajustados após o interregno de 1 (um) ano, mediante solicitação do contratado.</w:t>
      </w:r>
    </w:p>
    <w:p w14:paraId="0EDE44F2">
      <w:pPr>
        <w:pStyle w:val="98"/>
        <w:spacing w:before="288" w:beforeLines="120" w:after="288" w:afterLines="120" w:line="288" w:lineRule="auto"/>
        <w:ind w:left="0" w:firstLine="0"/>
        <w:contextualSpacing/>
        <w:rPr>
          <w:rFonts w:ascii="Times New Roman" w:hAnsi="Times New Roman" w:cs="Times New Roman"/>
          <w:sz w:val="24"/>
          <w:szCs w:val="24"/>
        </w:rPr>
      </w:pPr>
    </w:p>
    <w:p w14:paraId="0007A38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14.2 O interregno mínimo de 1 (um) ano para o primeiro reajuste será contado da data do orçamento estimado. </w:t>
      </w:r>
    </w:p>
    <w:p w14:paraId="40191A94">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E1D83E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6D58DCE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51F4A0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1C68E782">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F8639B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5B6048D7">
      <w:pPr>
        <w:pStyle w:val="98"/>
        <w:spacing w:before="288" w:beforeLines="120" w:after="288" w:afterLines="120" w:line="288" w:lineRule="auto"/>
        <w:ind w:left="0" w:firstLine="0"/>
        <w:contextualSpacing/>
        <w:rPr>
          <w:rFonts w:ascii="Times New Roman" w:hAnsi="Times New Roman" w:cs="Times New Roman"/>
          <w:sz w:val="24"/>
          <w:szCs w:val="24"/>
        </w:rPr>
      </w:pPr>
    </w:p>
    <w:p w14:paraId="17D73E9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14.5.1 Fica o contratado obrigado a apresentar memória de cálculo referente ao reajustamento de preços do valor remanescente, sempre que este ocorrer, sendo adotado na aferição final o índice definitivo.</w:t>
      </w:r>
    </w:p>
    <w:p w14:paraId="37890292">
      <w:pPr>
        <w:pStyle w:val="98"/>
        <w:spacing w:before="288" w:beforeLines="120" w:after="288" w:afterLines="120" w:line="288" w:lineRule="auto"/>
        <w:ind w:left="0" w:firstLine="0"/>
        <w:contextualSpacing/>
        <w:rPr>
          <w:rFonts w:ascii="Times New Roman" w:hAnsi="Times New Roman" w:cs="Times New Roman"/>
          <w:sz w:val="24"/>
          <w:szCs w:val="24"/>
        </w:rPr>
      </w:pPr>
    </w:p>
    <w:p w14:paraId="1E345B1B">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14.6 Caso o(s) índice(s) estabelecido(s) para reajustamento venha(m) a ser extinto(s) ou de qualquer forma não possa(m) mais ser utilizado(s), será(ão) adotado(s), em substituição, o(s) que vier(em) a ser determinado(s) pela legislação então em vigor.</w:t>
      </w:r>
    </w:p>
    <w:p w14:paraId="5997D9E6">
      <w:pPr>
        <w:pStyle w:val="98"/>
        <w:spacing w:before="288" w:beforeLines="120" w:after="288" w:afterLines="120" w:line="288" w:lineRule="auto"/>
        <w:ind w:left="0" w:firstLine="0"/>
        <w:contextualSpacing/>
        <w:rPr>
          <w:rFonts w:ascii="Times New Roman" w:hAnsi="Times New Roman" w:cs="Times New Roman"/>
          <w:sz w:val="24"/>
          <w:szCs w:val="24"/>
        </w:rPr>
      </w:pPr>
    </w:p>
    <w:p w14:paraId="318F2426">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14.7 Na ausência de previsão legal quanto ao índice substituto, as partes elegerão novo índice oficial, para reajustamento do preço do valor remanescente, por meio de termo aditivo.</w:t>
      </w:r>
    </w:p>
    <w:p w14:paraId="5B6A863E">
      <w:pPr>
        <w:pStyle w:val="98"/>
        <w:spacing w:before="288" w:beforeLines="120" w:after="288" w:afterLines="120" w:line="288" w:lineRule="auto"/>
        <w:ind w:left="0" w:firstLine="0"/>
        <w:contextualSpacing/>
        <w:rPr>
          <w:rFonts w:ascii="Times New Roman" w:hAnsi="Times New Roman" w:cs="Times New Roman"/>
          <w:sz w:val="24"/>
          <w:szCs w:val="24"/>
        </w:rPr>
      </w:pPr>
    </w:p>
    <w:p w14:paraId="20ACDA7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14.8 O pedido de reajuste deverá ser formulado durante a vigência do contrato e antes de eventual prorrogação contratual, sob pena de preclusão.</w:t>
      </w:r>
    </w:p>
    <w:p w14:paraId="22457D7E">
      <w:pPr>
        <w:pStyle w:val="98"/>
        <w:spacing w:before="288" w:beforeLines="120" w:after="288" w:afterLines="120" w:line="288" w:lineRule="auto"/>
        <w:ind w:left="0" w:firstLine="0"/>
        <w:contextualSpacing/>
        <w:rPr>
          <w:rFonts w:ascii="Times New Roman" w:hAnsi="Times New Roman" w:cs="Times New Roman"/>
          <w:sz w:val="24"/>
          <w:szCs w:val="24"/>
        </w:rPr>
      </w:pPr>
    </w:p>
    <w:p w14:paraId="5EEC0D1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14.8.1 Os efeitos financeiros do pedido de reajuste serão contados:</w:t>
      </w:r>
    </w:p>
    <w:p w14:paraId="20BED551">
      <w:pPr>
        <w:pStyle w:val="98"/>
        <w:spacing w:before="288" w:beforeLines="120" w:after="288" w:afterLines="120" w:line="288" w:lineRule="auto"/>
        <w:ind w:left="0" w:firstLine="0"/>
        <w:contextualSpacing/>
        <w:rPr>
          <w:rFonts w:ascii="Times New Roman" w:hAnsi="Times New Roman" w:cs="Times New Roman"/>
          <w:sz w:val="24"/>
          <w:szCs w:val="24"/>
        </w:rPr>
      </w:pPr>
    </w:p>
    <w:p w14:paraId="540A537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B313B0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AB13403">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B2515B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78BF7B13">
      <w:pPr>
        <w:pStyle w:val="98"/>
        <w:spacing w:before="288" w:beforeLines="120" w:after="288" w:afterLines="120" w:line="288" w:lineRule="auto"/>
        <w:ind w:left="0" w:firstLine="0"/>
        <w:contextualSpacing/>
        <w:rPr>
          <w:rFonts w:ascii="Times New Roman" w:hAnsi="Times New Roman" w:cs="Times New Roman"/>
          <w:sz w:val="24"/>
          <w:szCs w:val="24"/>
        </w:rPr>
      </w:pPr>
    </w:p>
    <w:p w14:paraId="64E1876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14.10 A extinção do contrato não configurará óbice para o deferimento do reajuste solicitado tempestivamente, hipótese em que será concedido por meio de termo indenizatório.</w:t>
      </w:r>
    </w:p>
    <w:p w14:paraId="3B1566CB">
      <w:pPr>
        <w:pStyle w:val="98"/>
        <w:spacing w:before="288" w:beforeLines="120" w:after="288" w:afterLines="120" w:line="288" w:lineRule="auto"/>
        <w:ind w:left="0" w:firstLine="0"/>
        <w:contextualSpacing/>
        <w:rPr>
          <w:rFonts w:ascii="Times New Roman" w:hAnsi="Times New Roman" w:cs="Times New Roman"/>
          <w:sz w:val="24"/>
          <w:szCs w:val="24"/>
        </w:rPr>
      </w:pPr>
    </w:p>
    <w:p w14:paraId="3F155FC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14.11 O reajuste será realizado por apostilamento, se esta for a única alteração contratual a ser realizada.</w:t>
      </w:r>
    </w:p>
    <w:p w14:paraId="3208FE16">
      <w:pPr>
        <w:pStyle w:val="98"/>
        <w:spacing w:before="288" w:beforeLines="120" w:after="288" w:afterLines="120" w:line="288" w:lineRule="auto"/>
        <w:ind w:left="0" w:firstLine="0"/>
        <w:contextualSpacing/>
        <w:rPr>
          <w:rFonts w:ascii="Times New Roman" w:hAnsi="Times New Roman" w:cs="Times New Roman"/>
          <w:sz w:val="24"/>
          <w:szCs w:val="24"/>
        </w:rPr>
      </w:pPr>
    </w:p>
    <w:p w14:paraId="1E0857D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14.12 O reajuste de preços não interfere no direito das partes de solicitar, a qualquer momento, a manutenção do equilíbrio econômico dos contratos com base no disposto no art. 124, inciso II, alínea “d”, da Lei n.º 14.133/2021.</w:t>
      </w:r>
    </w:p>
    <w:p w14:paraId="411E1E95">
      <w:pPr>
        <w:pStyle w:val="96"/>
        <w:spacing w:before="0" w:beforeAutospacing="0" w:after="0" w:afterAutospacing="0" w:line="288" w:lineRule="auto"/>
        <w:contextualSpacing/>
        <w:jc w:val="both"/>
        <w:rPr>
          <w:rFonts w:eastAsia="Calibri"/>
          <w:b/>
          <w:bCs/>
          <w:lang w:eastAsia="en-US"/>
        </w:rPr>
      </w:pPr>
      <w:r>
        <w:rPr>
          <w:rFonts w:eastAsia="Calibri"/>
          <w:b/>
          <w:bCs/>
          <w:lang w:eastAsia="en-US"/>
        </w:rPr>
        <w:t>15. EXECUÇÃO, GESTÃO E FISCALIZAÇÃO CONTRATUAIS</w:t>
      </w:r>
    </w:p>
    <w:p w14:paraId="3B88074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15.1 O regime de execução contratual, o modelo de gestão e a fiscalização, assim como os prazos e condições de conclusão, entrega, observação e recebimento se submetem ao disposto no Termo de Referência anexo a este Edital, na forma do Decreto nº 40/2025.</w:t>
      </w:r>
    </w:p>
    <w:p w14:paraId="6C8D189F">
      <w:pPr>
        <w:spacing w:line="288" w:lineRule="auto"/>
        <w:contextualSpacing/>
        <w:jc w:val="both"/>
        <w:rPr>
          <w:b/>
          <w:bCs/>
          <w:sz w:val="24"/>
          <w:szCs w:val="24"/>
        </w:rPr>
      </w:pPr>
      <w:r>
        <w:rPr>
          <w:b/>
          <w:bCs/>
          <w:sz w:val="24"/>
          <w:szCs w:val="24"/>
        </w:rPr>
        <w:t>16. DAS INFRAÇÕES ADMINISTRATIVAS E SANÇÕES</w:t>
      </w:r>
    </w:p>
    <w:p w14:paraId="7BF66B11">
      <w:pPr>
        <w:spacing w:line="288" w:lineRule="auto"/>
        <w:contextualSpacing/>
        <w:jc w:val="both"/>
        <w:rPr>
          <w:sz w:val="24"/>
          <w:szCs w:val="24"/>
        </w:rPr>
      </w:pPr>
    </w:p>
    <w:p w14:paraId="37766D2D">
      <w:pPr>
        <w:spacing w:line="288" w:lineRule="auto"/>
        <w:contextualSpacing/>
        <w:jc w:val="both"/>
        <w:rPr>
          <w:color w:val="000000"/>
          <w:sz w:val="24"/>
          <w:szCs w:val="24"/>
        </w:rPr>
      </w:pPr>
      <w:r>
        <w:rPr>
          <w:color w:val="000000"/>
          <w:sz w:val="24"/>
          <w:szCs w:val="24"/>
        </w:rPr>
        <w:t>16.1 Constitui infração administrativa, a prática, pelo licitante ou contratado, das seguintes condutas previstas no art. 155 da Lei nº 14.133/2021:</w:t>
      </w:r>
    </w:p>
    <w:p w14:paraId="554736E1">
      <w:pPr>
        <w:spacing w:line="288" w:lineRule="auto"/>
        <w:contextualSpacing/>
        <w:jc w:val="both"/>
        <w:rPr>
          <w:color w:val="000000"/>
          <w:sz w:val="24"/>
          <w:szCs w:val="24"/>
        </w:rPr>
      </w:pPr>
    </w:p>
    <w:p w14:paraId="28114648">
      <w:pPr>
        <w:spacing w:line="288" w:lineRule="auto"/>
        <w:contextualSpacing/>
        <w:jc w:val="both"/>
        <w:rPr>
          <w:sz w:val="24"/>
          <w:szCs w:val="24"/>
        </w:rPr>
      </w:pPr>
      <w:r>
        <w:rPr>
          <w:color w:val="000000"/>
          <w:sz w:val="24"/>
          <w:szCs w:val="24"/>
        </w:rPr>
        <w:t>16.1.1 dar causa à inexecução parcial do contrato</w:t>
      </w:r>
      <w:r>
        <w:rPr>
          <w:sz w:val="24"/>
          <w:szCs w:val="24"/>
        </w:rPr>
        <w:t>;</w:t>
      </w:r>
    </w:p>
    <w:p w14:paraId="39C20B41">
      <w:pPr>
        <w:spacing w:line="288" w:lineRule="auto"/>
        <w:contextualSpacing/>
        <w:jc w:val="both"/>
        <w:rPr>
          <w:sz w:val="24"/>
          <w:szCs w:val="24"/>
        </w:rPr>
      </w:pPr>
    </w:p>
    <w:p w14:paraId="643680F2">
      <w:pPr>
        <w:spacing w:line="288" w:lineRule="auto"/>
        <w:contextualSpacing/>
        <w:jc w:val="both"/>
        <w:rPr>
          <w:sz w:val="24"/>
          <w:szCs w:val="24"/>
        </w:rPr>
      </w:pPr>
      <w:r>
        <w:rPr>
          <w:color w:val="000000"/>
          <w:sz w:val="24"/>
          <w:szCs w:val="24"/>
        </w:rPr>
        <w:t>16.1.2 dar causa à inexecução parcial do contrato que cause grave dano à Administração, ao funcionamento dos serviços públicos ou ao interesse coletivo;</w:t>
      </w:r>
    </w:p>
    <w:p w14:paraId="19FDB6EE">
      <w:pPr>
        <w:spacing w:line="288" w:lineRule="auto"/>
        <w:contextualSpacing/>
        <w:jc w:val="both"/>
        <w:rPr>
          <w:color w:val="000000"/>
          <w:sz w:val="24"/>
          <w:szCs w:val="24"/>
        </w:rPr>
      </w:pPr>
    </w:p>
    <w:p w14:paraId="355F9B55">
      <w:pPr>
        <w:spacing w:after="160" w:line="288" w:lineRule="auto"/>
        <w:contextualSpacing/>
        <w:jc w:val="both"/>
        <w:rPr>
          <w:sz w:val="24"/>
          <w:szCs w:val="24"/>
        </w:rPr>
      </w:pPr>
      <w:r>
        <w:rPr>
          <w:color w:val="000000"/>
          <w:sz w:val="24"/>
          <w:szCs w:val="24"/>
        </w:rPr>
        <w:t>16.1.3 dar causa à inexecução total do contrato;</w:t>
      </w:r>
    </w:p>
    <w:p w14:paraId="2FD6E1AC">
      <w:pPr>
        <w:spacing w:line="288" w:lineRule="auto"/>
        <w:contextualSpacing/>
        <w:jc w:val="both"/>
        <w:rPr>
          <w:color w:val="000000"/>
          <w:sz w:val="24"/>
          <w:szCs w:val="24"/>
        </w:rPr>
      </w:pPr>
    </w:p>
    <w:p w14:paraId="619C5C7F">
      <w:pPr>
        <w:spacing w:line="288" w:lineRule="auto"/>
        <w:contextualSpacing/>
        <w:jc w:val="both"/>
        <w:rPr>
          <w:sz w:val="24"/>
          <w:szCs w:val="24"/>
        </w:rPr>
      </w:pPr>
      <w:r>
        <w:rPr>
          <w:color w:val="000000"/>
          <w:sz w:val="24"/>
          <w:szCs w:val="24"/>
        </w:rPr>
        <w:t xml:space="preserve">16.1.4 deixar de entregar a documentação exigida para o certame ou não entregar qualquer documento que tenha sido solicitado pelo Pregoeiro durante o certame; </w:t>
      </w:r>
    </w:p>
    <w:p w14:paraId="46956C3F">
      <w:pPr>
        <w:spacing w:line="288" w:lineRule="auto"/>
        <w:contextualSpacing/>
        <w:jc w:val="both"/>
        <w:rPr>
          <w:color w:val="000000"/>
          <w:sz w:val="24"/>
          <w:szCs w:val="24"/>
        </w:rPr>
      </w:pPr>
    </w:p>
    <w:p w14:paraId="6D668D3E">
      <w:pPr>
        <w:spacing w:line="288" w:lineRule="auto"/>
        <w:contextualSpacing/>
        <w:jc w:val="both"/>
        <w:rPr>
          <w:color w:val="000000"/>
          <w:sz w:val="24"/>
          <w:szCs w:val="24"/>
        </w:rPr>
      </w:pPr>
      <w:r>
        <w:rPr>
          <w:color w:val="000000"/>
          <w:sz w:val="24"/>
          <w:szCs w:val="24"/>
        </w:rPr>
        <w:t>16.1.5 não manter a proposta, salvo em decorrência de fato superveniente devidamente justificado, em especial quando:</w:t>
      </w:r>
    </w:p>
    <w:p w14:paraId="124573FE">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16</w:t>
      </w:r>
      <w:r>
        <w:rPr>
          <w:rFonts w:ascii="Times New Roman" w:hAnsi="Times New Roman" w:cs="Times New Roman"/>
          <w:sz w:val="24"/>
          <w:szCs w:val="24"/>
        </w:rPr>
        <w:t xml:space="preserve">.1.5.1 não enviar a proposta adequada ao último lance ofertado ou após a negociação; </w:t>
      </w:r>
    </w:p>
    <w:p w14:paraId="0D7FA37B">
      <w:pPr>
        <w:pStyle w:val="119"/>
        <w:spacing w:before="288" w:beforeLines="120" w:after="288" w:afterLines="120" w:line="288" w:lineRule="auto"/>
        <w:ind w:left="0"/>
        <w:contextualSpacing/>
        <w:rPr>
          <w:rFonts w:ascii="Times New Roman" w:hAnsi="Times New Roman" w:cs="Times New Roman"/>
          <w:sz w:val="24"/>
          <w:szCs w:val="24"/>
        </w:rPr>
      </w:pPr>
    </w:p>
    <w:p w14:paraId="74AF4EBE">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16</w:t>
      </w:r>
      <w:r>
        <w:rPr>
          <w:rFonts w:ascii="Times New Roman" w:hAnsi="Times New Roman" w:cs="Times New Roman"/>
          <w:sz w:val="24"/>
          <w:szCs w:val="24"/>
        </w:rPr>
        <w:t xml:space="preserve">.1.5.2 recusar-se a enviar o detalhamento da proposta quando exigível; </w:t>
      </w:r>
    </w:p>
    <w:p w14:paraId="046CBD8C">
      <w:pPr>
        <w:pStyle w:val="119"/>
        <w:spacing w:before="288" w:beforeLines="120" w:after="288" w:afterLines="120" w:line="288" w:lineRule="auto"/>
        <w:ind w:left="0"/>
        <w:contextualSpacing/>
        <w:rPr>
          <w:rFonts w:ascii="Times New Roman" w:hAnsi="Times New Roman" w:cs="Times New Roman"/>
          <w:sz w:val="24"/>
          <w:szCs w:val="24"/>
        </w:rPr>
      </w:pPr>
    </w:p>
    <w:p w14:paraId="5AB05456">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16.1.5.3 pedir para ser desclassificado quando encerrada a etapa competitiva; </w:t>
      </w:r>
    </w:p>
    <w:p w14:paraId="39A05516">
      <w:pPr>
        <w:pStyle w:val="119"/>
        <w:spacing w:before="288" w:beforeLines="120" w:after="288" w:afterLines="120" w:line="288" w:lineRule="auto"/>
        <w:ind w:left="0"/>
        <w:contextualSpacing/>
        <w:rPr>
          <w:rFonts w:ascii="Times New Roman" w:hAnsi="Times New Roman" w:cs="Times New Roman"/>
          <w:sz w:val="24"/>
          <w:szCs w:val="24"/>
        </w:rPr>
      </w:pPr>
    </w:p>
    <w:p w14:paraId="56ED11C5">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16.1.5.4 deixar de apresentar amostra; ou</w:t>
      </w:r>
    </w:p>
    <w:p w14:paraId="5FCF982B">
      <w:pPr>
        <w:pStyle w:val="119"/>
        <w:spacing w:before="288" w:beforeLines="120" w:after="288" w:afterLines="120" w:line="288" w:lineRule="auto"/>
        <w:ind w:left="0"/>
        <w:contextualSpacing/>
        <w:rPr>
          <w:rFonts w:ascii="Times New Roman" w:hAnsi="Times New Roman" w:cs="Times New Roman"/>
          <w:sz w:val="24"/>
          <w:szCs w:val="24"/>
        </w:rPr>
      </w:pPr>
    </w:p>
    <w:p w14:paraId="3A0D8F26">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16.1.5.5 apresentar proposta ou amostra em desacordo com as especificações do instrumento convocatório; </w:t>
      </w:r>
    </w:p>
    <w:p w14:paraId="3539835D">
      <w:pPr>
        <w:spacing w:line="288" w:lineRule="auto"/>
        <w:contextualSpacing/>
        <w:jc w:val="both"/>
        <w:rPr>
          <w:color w:val="000000"/>
          <w:sz w:val="24"/>
          <w:szCs w:val="24"/>
        </w:rPr>
      </w:pPr>
      <w:r>
        <w:rPr>
          <w:color w:val="000000"/>
          <w:sz w:val="24"/>
          <w:szCs w:val="24"/>
        </w:rPr>
        <w:t>16.1.6 não celebrar o contrato ou não entregar a documentação exigida para a contratação, quando convocado dentro do prazo de validade de sua proposta;</w:t>
      </w:r>
    </w:p>
    <w:p w14:paraId="7A716976">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16.1.6.1 recusar-se, sem justificativa, a assinar o contrato ou a ata de registro de preço, ou a aceitar ou retirar o instrumento equivalente no prazo estabelecido pela Administração;</w:t>
      </w:r>
    </w:p>
    <w:p w14:paraId="6BE7DC89">
      <w:pPr>
        <w:spacing w:line="288" w:lineRule="auto"/>
        <w:contextualSpacing/>
        <w:jc w:val="both"/>
        <w:rPr>
          <w:color w:val="000000"/>
          <w:sz w:val="24"/>
          <w:szCs w:val="24"/>
        </w:rPr>
      </w:pPr>
      <w:r>
        <w:rPr>
          <w:color w:val="000000"/>
          <w:sz w:val="24"/>
          <w:szCs w:val="24"/>
        </w:rPr>
        <w:t>16.1.7 ensejar o retardamento da execução ou da entrega do objeto da contratação sem motivo justificado;</w:t>
      </w:r>
    </w:p>
    <w:p w14:paraId="39045999">
      <w:pPr>
        <w:spacing w:line="288" w:lineRule="auto"/>
        <w:contextualSpacing/>
        <w:jc w:val="both"/>
        <w:rPr>
          <w:color w:val="000000"/>
          <w:sz w:val="24"/>
          <w:szCs w:val="24"/>
        </w:rPr>
      </w:pPr>
    </w:p>
    <w:p w14:paraId="76EE16B9">
      <w:pPr>
        <w:spacing w:line="288" w:lineRule="auto"/>
        <w:contextualSpacing/>
        <w:jc w:val="both"/>
        <w:rPr>
          <w:color w:val="000000"/>
          <w:sz w:val="24"/>
          <w:szCs w:val="24"/>
        </w:rPr>
      </w:pPr>
      <w:r>
        <w:rPr>
          <w:color w:val="000000"/>
          <w:sz w:val="24"/>
          <w:szCs w:val="24"/>
        </w:rPr>
        <w:t>16.1.8 apresentar declaração ou documentação falsa exigida para o certame ou prestar declaração falsa durante o certame ou a execução do contrato;</w:t>
      </w:r>
    </w:p>
    <w:p w14:paraId="26EAB6BD">
      <w:pPr>
        <w:spacing w:line="288" w:lineRule="auto"/>
        <w:contextualSpacing/>
        <w:jc w:val="both"/>
        <w:rPr>
          <w:rFonts w:eastAsia="Arial"/>
          <w:color w:val="000000"/>
          <w:sz w:val="24"/>
          <w:szCs w:val="24"/>
        </w:rPr>
      </w:pPr>
    </w:p>
    <w:p w14:paraId="15712A22">
      <w:pPr>
        <w:spacing w:line="288" w:lineRule="auto"/>
        <w:contextualSpacing/>
        <w:jc w:val="both"/>
        <w:rPr>
          <w:color w:val="000000"/>
          <w:sz w:val="24"/>
          <w:szCs w:val="24"/>
        </w:rPr>
      </w:pPr>
      <w:r>
        <w:rPr>
          <w:color w:val="000000"/>
          <w:sz w:val="24"/>
          <w:szCs w:val="24"/>
        </w:rPr>
        <w:t>16.1.9 fraudar o certame ou praticar ato fraudulento na execução do contrato;</w:t>
      </w:r>
    </w:p>
    <w:p w14:paraId="316A1A0B">
      <w:pPr>
        <w:spacing w:line="288" w:lineRule="auto"/>
        <w:contextualSpacing/>
        <w:jc w:val="both"/>
        <w:rPr>
          <w:color w:val="000000"/>
          <w:sz w:val="24"/>
          <w:szCs w:val="24"/>
        </w:rPr>
      </w:pPr>
      <w:r>
        <w:rPr>
          <w:color w:val="000000"/>
          <w:sz w:val="24"/>
          <w:szCs w:val="24"/>
        </w:rPr>
        <w:t> </w:t>
      </w:r>
    </w:p>
    <w:p w14:paraId="4E75DA9B">
      <w:pPr>
        <w:spacing w:line="288" w:lineRule="auto"/>
        <w:contextualSpacing/>
        <w:jc w:val="both"/>
        <w:rPr>
          <w:color w:val="000000"/>
          <w:sz w:val="24"/>
          <w:szCs w:val="24"/>
        </w:rPr>
      </w:pPr>
      <w:r>
        <w:rPr>
          <w:color w:val="000000"/>
          <w:sz w:val="24"/>
          <w:szCs w:val="24"/>
        </w:rPr>
        <w:t>16.1.10 comportar-se de modo inidôneo ou cometer fraude de qualquer natureza, em especial quando:</w:t>
      </w:r>
    </w:p>
    <w:p w14:paraId="1A505882">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16.1.10.1 agir em conluio ou em desconformidade com a lei; </w:t>
      </w:r>
    </w:p>
    <w:p w14:paraId="176031CB">
      <w:pPr>
        <w:pStyle w:val="119"/>
        <w:spacing w:before="288" w:beforeLines="120" w:after="288" w:afterLines="120" w:line="288" w:lineRule="auto"/>
        <w:ind w:left="0"/>
        <w:contextualSpacing/>
        <w:rPr>
          <w:rFonts w:ascii="Times New Roman" w:hAnsi="Times New Roman" w:cs="Times New Roman"/>
          <w:sz w:val="24"/>
          <w:szCs w:val="24"/>
        </w:rPr>
      </w:pPr>
    </w:p>
    <w:p w14:paraId="606305EC">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16.1.10.2 induzir deliberadamente a erro no julgamento; </w:t>
      </w:r>
    </w:p>
    <w:p w14:paraId="51E70C05">
      <w:pPr>
        <w:pStyle w:val="119"/>
        <w:spacing w:before="288" w:beforeLines="120" w:after="288" w:afterLines="120" w:line="288" w:lineRule="auto"/>
        <w:ind w:left="0"/>
        <w:contextualSpacing/>
        <w:rPr>
          <w:rFonts w:ascii="Times New Roman" w:hAnsi="Times New Roman" w:cs="Times New Roman"/>
          <w:sz w:val="24"/>
          <w:szCs w:val="24"/>
        </w:rPr>
      </w:pPr>
    </w:p>
    <w:p w14:paraId="27C4FB21">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16.1.10.3 apresentar amostra falsificada ou deteriorada; </w:t>
      </w:r>
    </w:p>
    <w:p w14:paraId="4AE2D643">
      <w:pPr>
        <w:pStyle w:val="119"/>
        <w:spacing w:before="288" w:beforeLines="120" w:after="288" w:afterLines="120" w:line="288" w:lineRule="auto"/>
        <w:ind w:left="0"/>
        <w:contextualSpacing/>
        <w:rPr>
          <w:rFonts w:ascii="Times New Roman" w:hAnsi="Times New Roman" w:cs="Times New Roman"/>
          <w:sz w:val="24"/>
          <w:szCs w:val="24"/>
        </w:rPr>
      </w:pPr>
    </w:p>
    <w:p w14:paraId="7B42A7CC">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16.1.10.4 apresentar declaração falsa quanto às condições de participação ou quanto ao enquadramento como ME/EPP; </w:t>
      </w:r>
    </w:p>
    <w:p w14:paraId="472C26AF">
      <w:pPr>
        <w:spacing w:line="288" w:lineRule="auto"/>
        <w:contextualSpacing/>
        <w:jc w:val="both"/>
        <w:rPr>
          <w:color w:val="000000"/>
          <w:sz w:val="24"/>
          <w:szCs w:val="24"/>
        </w:rPr>
      </w:pPr>
      <w:r>
        <w:rPr>
          <w:sz w:val="24"/>
          <w:szCs w:val="24"/>
        </w:rPr>
        <w:t>16</w:t>
      </w:r>
      <w:r>
        <w:rPr>
          <w:color w:val="000000"/>
          <w:sz w:val="24"/>
          <w:szCs w:val="24"/>
        </w:rPr>
        <w:t>.1.11 praticar atos ilícitos com vistas a frustrar os objetivos do certame;</w:t>
      </w:r>
    </w:p>
    <w:p w14:paraId="03D4DEDF">
      <w:pPr>
        <w:spacing w:line="288" w:lineRule="auto"/>
        <w:contextualSpacing/>
        <w:jc w:val="both"/>
        <w:rPr>
          <w:color w:val="000000"/>
          <w:sz w:val="24"/>
          <w:szCs w:val="24"/>
        </w:rPr>
      </w:pPr>
    </w:p>
    <w:p w14:paraId="1876B594">
      <w:pPr>
        <w:spacing w:line="288" w:lineRule="auto"/>
        <w:contextualSpacing/>
        <w:jc w:val="both"/>
        <w:rPr>
          <w:rStyle w:val="16"/>
          <w:rFonts w:eastAsiaTheme="minorHAnsi"/>
          <w:color w:val="000000"/>
          <w:sz w:val="24"/>
          <w:szCs w:val="24"/>
        </w:rPr>
      </w:pPr>
      <w:r>
        <w:rPr>
          <w:sz w:val="24"/>
          <w:szCs w:val="24"/>
        </w:rPr>
        <w:t>16</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1D20BAD2">
      <w:pPr>
        <w:spacing w:line="288" w:lineRule="auto"/>
        <w:contextualSpacing/>
        <w:jc w:val="both"/>
        <w:rPr>
          <w:sz w:val="24"/>
          <w:szCs w:val="24"/>
        </w:rPr>
      </w:pPr>
    </w:p>
    <w:p w14:paraId="0BABCBC8">
      <w:pPr>
        <w:spacing w:line="288" w:lineRule="auto"/>
        <w:contextualSpacing/>
        <w:jc w:val="both"/>
        <w:rPr>
          <w:sz w:val="24"/>
          <w:szCs w:val="24"/>
        </w:rPr>
      </w:pPr>
      <w:r>
        <w:rPr>
          <w:sz w:val="24"/>
          <w:szCs w:val="24"/>
        </w:rPr>
        <w:t xml:space="preserve">16.2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58B561B1">
      <w:pPr>
        <w:spacing w:line="288" w:lineRule="auto"/>
        <w:contextualSpacing/>
        <w:jc w:val="both"/>
        <w:rPr>
          <w:sz w:val="24"/>
          <w:szCs w:val="24"/>
        </w:rPr>
      </w:pPr>
    </w:p>
    <w:p w14:paraId="41719952">
      <w:pPr>
        <w:spacing w:line="288" w:lineRule="auto"/>
        <w:contextualSpacing/>
        <w:jc w:val="both"/>
        <w:rPr>
          <w:sz w:val="24"/>
          <w:szCs w:val="24"/>
        </w:rPr>
      </w:pPr>
      <w:r>
        <w:rPr>
          <w:sz w:val="24"/>
          <w:szCs w:val="24"/>
        </w:rPr>
        <w:t>16.2.1 Advertência, prevista no art. 156, I, § 2º, da Lei nº 14.133/2021, pela infração descrita no item 20.1.1, de menor potencial ofensivo, quando não se justificar a imposição de penalidade mais grave.</w:t>
      </w:r>
    </w:p>
    <w:p w14:paraId="3E13A659">
      <w:pPr>
        <w:spacing w:line="288" w:lineRule="auto"/>
        <w:contextualSpacing/>
        <w:jc w:val="both"/>
        <w:rPr>
          <w:sz w:val="24"/>
          <w:szCs w:val="24"/>
        </w:rPr>
      </w:pPr>
    </w:p>
    <w:p w14:paraId="12E169B8">
      <w:pPr>
        <w:spacing w:line="288" w:lineRule="auto"/>
        <w:contextualSpacing/>
        <w:jc w:val="both"/>
        <w:rPr>
          <w:sz w:val="24"/>
          <w:szCs w:val="24"/>
        </w:rPr>
      </w:pPr>
      <w:r>
        <w:rPr>
          <w:sz w:val="24"/>
          <w:szCs w:val="24"/>
        </w:rPr>
        <w:t xml:space="preserve">16.2.2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CA172F6">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16</w:t>
      </w:r>
      <w:r>
        <w:rPr>
          <w:sz w:val="24"/>
          <w:szCs w:val="24"/>
        </w:rPr>
        <w:t xml:space="preserve">.1.1, incidente sobre o valor anual do Contrato; </w:t>
      </w:r>
    </w:p>
    <w:p w14:paraId="08C42D46">
      <w:pPr>
        <w:spacing w:line="288" w:lineRule="auto"/>
        <w:contextualSpacing/>
        <w:jc w:val="both"/>
        <w:rPr>
          <w:sz w:val="24"/>
          <w:szCs w:val="24"/>
        </w:rPr>
      </w:pPr>
      <w:r>
        <w:rPr>
          <w:sz w:val="24"/>
          <w:szCs w:val="24"/>
        </w:rPr>
        <w:t>b) multa de 0,5% a 15%, nos casos das infrações previstas nos subitens 16.1.2 a 16.1.7, incidente sobre o valor anual do Contrato;</w:t>
      </w:r>
    </w:p>
    <w:p w14:paraId="69098B1A">
      <w:pPr>
        <w:spacing w:line="288" w:lineRule="auto"/>
        <w:contextualSpacing/>
        <w:jc w:val="both"/>
        <w:rPr>
          <w:sz w:val="24"/>
          <w:szCs w:val="24"/>
        </w:rPr>
      </w:pPr>
      <w:r>
        <w:rPr>
          <w:sz w:val="24"/>
          <w:szCs w:val="24"/>
        </w:rPr>
        <w:t>c) multa de 5% a 30%, nos casos das infrações previstas nos subitens 16.1.8 a 16.1.12, incidente sobre o valor anual do Contrato;</w:t>
      </w:r>
    </w:p>
    <w:p w14:paraId="2E2A58E3">
      <w:pPr>
        <w:pStyle w:val="24"/>
        <w:spacing w:before="225" w:line="288" w:lineRule="auto"/>
        <w:contextualSpacing/>
        <w:jc w:val="both"/>
        <w:rPr>
          <w:color w:val="000000"/>
        </w:rPr>
      </w:pPr>
      <w:r>
        <w:t>16.2.2.1 Na hipótese de a infração ser cometida antes da celebração do Contrato, a base de cálculo da multa do item 16.2.2 será o valor anual estimado da contratação.</w:t>
      </w:r>
    </w:p>
    <w:p w14:paraId="29A0BA48">
      <w:pPr>
        <w:spacing w:line="288" w:lineRule="auto"/>
        <w:contextualSpacing/>
        <w:jc w:val="both"/>
        <w:rPr>
          <w:sz w:val="24"/>
          <w:szCs w:val="24"/>
        </w:rPr>
      </w:pPr>
      <w:r>
        <w:rPr>
          <w:sz w:val="24"/>
          <w:szCs w:val="24"/>
        </w:rPr>
        <w:t>16.2.2.2 Em caso de reincidência, o valor total das multas administrativas aplicadas não poderá exceder o limite de 30% (trinta por cento) sobre o valor total do Contrato.</w:t>
      </w:r>
    </w:p>
    <w:p w14:paraId="16173061">
      <w:pPr>
        <w:spacing w:line="288" w:lineRule="auto"/>
        <w:contextualSpacing/>
        <w:jc w:val="both"/>
        <w:rPr>
          <w:sz w:val="24"/>
          <w:szCs w:val="24"/>
        </w:rPr>
      </w:pPr>
    </w:p>
    <w:p w14:paraId="12A7B303">
      <w:pPr>
        <w:spacing w:line="288" w:lineRule="auto"/>
        <w:contextualSpacing/>
        <w:jc w:val="both"/>
        <w:rPr>
          <w:sz w:val="24"/>
          <w:szCs w:val="24"/>
        </w:rPr>
      </w:pPr>
      <w:r>
        <w:rPr>
          <w:sz w:val="24"/>
          <w:szCs w:val="24"/>
        </w:rPr>
        <w:t xml:space="preserve">16.2.2.3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16.13.</w:t>
      </w:r>
    </w:p>
    <w:p w14:paraId="468B2F4A">
      <w:pPr>
        <w:spacing w:line="288" w:lineRule="auto"/>
        <w:contextualSpacing/>
        <w:jc w:val="both"/>
        <w:rPr>
          <w:sz w:val="24"/>
          <w:szCs w:val="24"/>
        </w:rPr>
      </w:pPr>
    </w:p>
    <w:p w14:paraId="64A2025F">
      <w:pPr>
        <w:spacing w:line="288" w:lineRule="auto"/>
        <w:contextualSpacing/>
        <w:jc w:val="both"/>
        <w:rPr>
          <w:sz w:val="24"/>
          <w:szCs w:val="24"/>
        </w:rPr>
      </w:pPr>
      <w:r>
        <w:rPr>
          <w:sz w:val="24"/>
          <w:szCs w:val="24"/>
        </w:rPr>
        <w:t>16.2.2.4 A penalidade de multa pode ser aplicada cumulativamente com as demais sanções, na forma do art. 156, § 7º, da Lei nº 14.133/2021.</w:t>
      </w:r>
    </w:p>
    <w:p w14:paraId="3641E435">
      <w:pPr>
        <w:spacing w:line="288" w:lineRule="auto"/>
        <w:contextualSpacing/>
        <w:jc w:val="both"/>
        <w:rPr>
          <w:sz w:val="24"/>
          <w:szCs w:val="24"/>
        </w:rPr>
      </w:pPr>
    </w:p>
    <w:p w14:paraId="18DC9C19">
      <w:pPr>
        <w:spacing w:line="288" w:lineRule="auto"/>
        <w:contextualSpacing/>
        <w:jc w:val="both"/>
        <w:rPr>
          <w:color w:val="000000"/>
          <w:sz w:val="24"/>
          <w:szCs w:val="24"/>
        </w:rPr>
      </w:pPr>
      <w:r>
        <w:rPr>
          <w:sz w:val="24"/>
          <w:szCs w:val="24"/>
        </w:rPr>
        <w:t>16</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16</w:t>
      </w:r>
      <w:r>
        <w:rPr>
          <w:color w:val="000000"/>
          <w:sz w:val="24"/>
          <w:szCs w:val="24"/>
        </w:rPr>
        <w:t>.1.2 a 16.1.7, quando não se justificar a imposição de penalidade mais grave, e impedirá o responsável de licitar ou contratar no âmbito da Administração Pública direta e indireta do Estado, pelo prazo máximo de 3 (três) anos;</w:t>
      </w:r>
    </w:p>
    <w:p w14:paraId="625D3290">
      <w:pPr>
        <w:spacing w:line="288" w:lineRule="auto"/>
        <w:contextualSpacing/>
        <w:jc w:val="both"/>
        <w:rPr>
          <w:rFonts w:eastAsia="Arial"/>
          <w:color w:val="000000"/>
          <w:sz w:val="24"/>
          <w:szCs w:val="24"/>
        </w:rPr>
      </w:pPr>
    </w:p>
    <w:p w14:paraId="2C69A318">
      <w:pPr>
        <w:spacing w:line="288" w:lineRule="auto"/>
        <w:contextualSpacing/>
        <w:jc w:val="both"/>
        <w:rPr>
          <w:sz w:val="24"/>
          <w:szCs w:val="24"/>
        </w:rPr>
      </w:pPr>
      <w:r>
        <w:rPr>
          <w:sz w:val="24"/>
          <w:szCs w:val="24"/>
        </w:rPr>
        <w:t>16</w:t>
      </w:r>
      <w:r>
        <w:rPr>
          <w:color w:val="000000"/>
          <w:sz w:val="24"/>
          <w:szCs w:val="24"/>
        </w:rPr>
        <w:t>.2.4 Declaração de inidoneidade para licitar ou contratar, prevista no a</w:t>
      </w:r>
      <w:r>
        <w:rPr>
          <w:rStyle w:val="117"/>
          <w:sz w:val="24"/>
          <w:szCs w:val="24"/>
        </w:rPr>
        <w:t xml:space="preserve">rt. 156, IV, § 5º, da Lei nº 14.133/2021, </w:t>
      </w:r>
      <w:r>
        <w:rPr>
          <w:color w:val="000000"/>
          <w:sz w:val="24"/>
          <w:szCs w:val="24"/>
        </w:rPr>
        <w:t>nos casos relacionados nos subitens 16.1.8 a 16.1.12,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BA28EF5">
      <w:pPr>
        <w:spacing w:line="288" w:lineRule="auto"/>
        <w:contextualSpacing/>
        <w:jc w:val="both"/>
        <w:rPr>
          <w:sz w:val="24"/>
          <w:szCs w:val="24"/>
        </w:rPr>
      </w:pPr>
    </w:p>
    <w:p w14:paraId="56533288">
      <w:pPr>
        <w:spacing w:line="288" w:lineRule="auto"/>
        <w:contextualSpacing/>
        <w:jc w:val="both"/>
        <w:rPr>
          <w:sz w:val="24"/>
          <w:szCs w:val="24"/>
        </w:rPr>
      </w:pPr>
      <w:r>
        <w:rPr>
          <w:sz w:val="24"/>
          <w:szCs w:val="24"/>
        </w:rPr>
        <w:t>16.3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0C66A0A">
      <w:pPr>
        <w:spacing w:line="288" w:lineRule="auto"/>
        <w:contextualSpacing/>
        <w:jc w:val="both"/>
        <w:rPr>
          <w:sz w:val="24"/>
          <w:szCs w:val="24"/>
        </w:rPr>
      </w:pPr>
    </w:p>
    <w:p w14:paraId="66DEEB48">
      <w:pPr>
        <w:spacing w:line="288" w:lineRule="auto"/>
        <w:contextualSpacing/>
        <w:jc w:val="both"/>
        <w:rPr>
          <w:sz w:val="24"/>
          <w:szCs w:val="24"/>
        </w:rPr>
      </w:pPr>
      <w:r>
        <w:rPr>
          <w:sz w:val="24"/>
          <w:szCs w:val="24"/>
        </w:rPr>
        <w:t>16.3.1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0F50758">
      <w:pPr>
        <w:spacing w:line="288" w:lineRule="auto"/>
        <w:contextualSpacing/>
        <w:jc w:val="both"/>
        <w:rPr>
          <w:sz w:val="24"/>
          <w:szCs w:val="24"/>
        </w:rPr>
      </w:pPr>
    </w:p>
    <w:p w14:paraId="23277ACF">
      <w:pPr>
        <w:spacing w:line="288" w:lineRule="auto"/>
        <w:contextualSpacing/>
        <w:jc w:val="both"/>
        <w:rPr>
          <w:sz w:val="24"/>
          <w:szCs w:val="24"/>
        </w:rPr>
      </w:pPr>
      <w:r>
        <w:rPr>
          <w:sz w:val="24"/>
          <w:szCs w:val="24"/>
        </w:rPr>
        <w:t>16.3.2 O atraso superior a 25 (vinte e cinco) dias no cumprimento da obrigação prevista no item 16.3.1 autoriza a Administração a promover a rescisão contratual por descumprimento ou cumprimento irregular de suas cláusulas.</w:t>
      </w:r>
    </w:p>
    <w:p w14:paraId="3C9F27BF">
      <w:pPr>
        <w:spacing w:line="288" w:lineRule="auto"/>
        <w:contextualSpacing/>
        <w:jc w:val="both"/>
        <w:rPr>
          <w:sz w:val="24"/>
          <w:szCs w:val="24"/>
        </w:rPr>
      </w:pPr>
    </w:p>
    <w:p w14:paraId="40C4AE57">
      <w:pPr>
        <w:spacing w:line="288" w:lineRule="auto"/>
        <w:contextualSpacing/>
        <w:jc w:val="both"/>
        <w:rPr>
          <w:sz w:val="24"/>
          <w:szCs w:val="24"/>
        </w:rPr>
      </w:pPr>
      <w:r>
        <w:rPr>
          <w:sz w:val="24"/>
          <w:szCs w:val="24"/>
        </w:rPr>
        <w:t>16.3.3 A aplicação de multa de mora não impedirá que a Administração a converta em compensatória e promova a extinção unilateral do Contrato com a aplicação cumulada de outras sanções previstas no Contrato.</w:t>
      </w:r>
    </w:p>
    <w:p w14:paraId="54612548">
      <w:pPr>
        <w:spacing w:line="288" w:lineRule="auto"/>
        <w:contextualSpacing/>
        <w:jc w:val="both"/>
        <w:rPr>
          <w:sz w:val="24"/>
          <w:szCs w:val="24"/>
        </w:rPr>
      </w:pPr>
    </w:p>
    <w:p w14:paraId="2DE027A7">
      <w:pPr>
        <w:spacing w:line="288" w:lineRule="auto"/>
        <w:contextualSpacing/>
        <w:jc w:val="both"/>
        <w:rPr>
          <w:sz w:val="24"/>
          <w:szCs w:val="24"/>
        </w:rPr>
      </w:pPr>
      <w:r>
        <w:rPr>
          <w:sz w:val="24"/>
          <w:szCs w:val="24"/>
        </w:rPr>
        <w:t>16.4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0B5E0C1C">
      <w:pPr>
        <w:spacing w:line="288" w:lineRule="auto"/>
        <w:contextualSpacing/>
        <w:jc w:val="both"/>
        <w:rPr>
          <w:b/>
          <w:bCs/>
          <w:color w:val="FF0000"/>
          <w:sz w:val="24"/>
          <w:szCs w:val="24"/>
        </w:rPr>
      </w:pPr>
    </w:p>
    <w:p w14:paraId="32034ADD">
      <w:pPr>
        <w:spacing w:line="288" w:lineRule="auto"/>
        <w:contextualSpacing/>
        <w:jc w:val="both"/>
        <w:rPr>
          <w:sz w:val="24"/>
          <w:szCs w:val="24"/>
        </w:rPr>
      </w:pPr>
      <w:r>
        <w:rPr>
          <w:sz w:val="24"/>
          <w:szCs w:val="24"/>
        </w:rPr>
        <w:t>16.4.1 A multa compensatória, isoladamente aplicada ou quando somada ao valor da multa moratória convertida, não poderá exceder o limite previsto no art. 412 do Código Civil, ou seja, o valor da obrigação principal.</w:t>
      </w:r>
    </w:p>
    <w:p w14:paraId="435BDF12">
      <w:pPr>
        <w:spacing w:line="288" w:lineRule="auto"/>
        <w:contextualSpacing/>
        <w:jc w:val="both"/>
        <w:rPr>
          <w:sz w:val="24"/>
          <w:szCs w:val="24"/>
        </w:rPr>
      </w:pPr>
    </w:p>
    <w:p w14:paraId="368986C3">
      <w:pPr>
        <w:spacing w:line="288" w:lineRule="auto"/>
        <w:contextualSpacing/>
        <w:jc w:val="both"/>
        <w:rPr>
          <w:sz w:val="24"/>
          <w:szCs w:val="24"/>
        </w:rPr>
      </w:pPr>
      <w:r>
        <w:rPr>
          <w:sz w:val="24"/>
          <w:szCs w:val="24"/>
        </w:rPr>
        <w:t xml:space="preserve">16.5 Na aplicação das sanções serão considerados os seguintes requisitos, previstos no art. </w:t>
      </w:r>
      <w:r>
        <w:rPr>
          <w:rStyle w:val="117"/>
          <w:sz w:val="24"/>
          <w:szCs w:val="24"/>
        </w:rPr>
        <w:t>156, § 1º, incisos I a V, da Lei nº 14.133/2021</w:t>
      </w:r>
      <w:r>
        <w:rPr>
          <w:sz w:val="24"/>
          <w:szCs w:val="24"/>
        </w:rPr>
        <w:t>:</w:t>
      </w:r>
    </w:p>
    <w:p w14:paraId="5503BCC8">
      <w:pPr>
        <w:spacing w:line="288" w:lineRule="auto"/>
        <w:contextualSpacing/>
        <w:jc w:val="both"/>
        <w:rPr>
          <w:sz w:val="24"/>
          <w:szCs w:val="24"/>
        </w:rPr>
      </w:pPr>
      <w:r>
        <w:rPr>
          <w:sz w:val="24"/>
          <w:szCs w:val="24"/>
        </w:rPr>
        <w:t>16.5.1 a natureza e a gravidade da infração cometida;</w:t>
      </w:r>
    </w:p>
    <w:p w14:paraId="0B6E2B9C">
      <w:pPr>
        <w:spacing w:line="288" w:lineRule="auto"/>
        <w:contextualSpacing/>
        <w:jc w:val="both"/>
        <w:rPr>
          <w:sz w:val="24"/>
          <w:szCs w:val="24"/>
        </w:rPr>
      </w:pPr>
      <w:r>
        <w:rPr>
          <w:sz w:val="24"/>
          <w:szCs w:val="24"/>
        </w:rPr>
        <w:t>16.5.2 as peculiaridades do caso concreto;</w:t>
      </w:r>
    </w:p>
    <w:p w14:paraId="1C8BC92E">
      <w:pPr>
        <w:spacing w:line="288" w:lineRule="auto"/>
        <w:contextualSpacing/>
        <w:jc w:val="both"/>
        <w:rPr>
          <w:sz w:val="24"/>
          <w:szCs w:val="24"/>
        </w:rPr>
      </w:pPr>
      <w:r>
        <w:rPr>
          <w:sz w:val="24"/>
          <w:szCs w:val="24"/>
        </w:rPr>
        <w:t>16.5.3 as circunstâncias agravantes ou atenuantes;</w:t>
      </w:r>
    </w:p>
    <w:p w14:paraId="39B1A475">
      <w:pPr>
        <w:spacing w:line="288" w:lineRule="auto"/>
        <w:contextualSpacing/>
        <w:jc w:val="both"/>
        <w:rPr>
          <w:sz w:val="24"/>
          <w:szCs w:val="24"/>
        </w:rPr>
      </w:pPr>
      <w:r>
        <w:rPr>
          <w:sz w:val="24"/>
          <w:szCs w:val="24"/>
        </w:rPr>
        <w:t>16.5.4 os danos que dela provierem para a Administração Pública;</w:t>
      </w:r>
    </w:p>
    <w:p w14:paraId="6EFEDF90">
      <w:pPr>
        <w:spacing w:line="288" w:lineRule="auto"/>
        <w:contextualSpacing/>
        <w:jc w:val="both"/>
        <w:rPr>
          <w:sz w:val="24"/>
          <w:szCs w:val="24"/>
        </w:rPr>
      </w:pPr>
      <w:r>
        <w:rPr>
          <w:sz w:val="24"/>
          <w:szCs w:val="24"/>
        </w:rPr>
        <w:t>16.5.5 a implantação ou o aperfeiçoamento de programa de integridade, conforme normas e orientações dos órgãos de controle.</w:t>
      </w:r>
    </w:p>
    <w:p w14:paraId="42D386F5">
      <w:pPr>
        <w:spacing w:line="288" w:lineRule="auto"/>
        <w:contextualSpacing/>
        <w:jc w:val="both"/>
        <w:rPr>
          <w:sz w:val="24"/>
          <w:szCs w:val="24"/>
        </w:rPr>
      </w:pPr>
    </w:p>
    <w:p w14:paraId="47ED315B">
      <w:pPr>
        <w:spacing w:line="288" w:lineRule="auto"/>
        <w:contextualSpacing/>
        <w:jc w:val="both"/>
        <w:rPr>
          <w:sz w:val="24"/>
          <w:szCs w:val="24"/>
        </w:rPr>
      </w:pPr>
      <w:r>
        <w:rPr>
          <w:sz w:val="24"/>
          <w:szCs w:val="24"/>
        </w:rPr>
        <w:t xml:space="preserve">16.6 A imposição das penalidades é de competência exclusiva do órgão ou entidade contratante, sendo competentes para sua aplicação: </w:t>
      </w:r>
    </w:p>
    <w:p w14:paraId="718B4D6B">
      <w:pPr>
        <w:spacing w:line="288" w:lineRule="auto"/>
        <w:contextualSpacing/>
        <w:jc w:val="both"/>
        <w:rPr>
          <w:sz w:val="24"/>
          <w:szCs w:val="24"/>
        </w:rPr>
      </w:pPr>
      <w:r>
        <w:rPr>
          <w:sz w:val="24"/>
          <w:szCs w:val="24"/>
        </w:rPr>
        <w:t>a) as sanções previstas nos itens 16.2.1, 16.2.2 e 16.2.3 serão impostas pelo Ordenador de Despesa;</w:t>
      </w:r>
    </w:p>
    <w:p w14:paraId="0825E827">
      <w:pPr>
        <w:spacing w:line="288" w:lineRule="auto"/>
        <w:contextualSpacing/>
        <w:jc w:val="both"/>
        <w:rPr>
          <w:sz w:val="24"/>
          <w:szCs w:val="24"/>
        </w:rPr>
      </w:pPr>
      <w:r>
        <w:rPr>
          <w:sz w:val="24"/>
          <w:szCs w:val="24"/>
        </w:rPr>
        <w:t xml:space="preserve">b) a aplicação da sanção prevista no item 16.2.4, na forma do art. </w:t>
      </w:r>
      <w:r>
        <w:rPr>
          <w:rStyle w:val="117"/>
          <w:sz w:val="24"/>
          <w:szCs w:val="24"/>
        </w:rPr>
        <w:t>156, § 6º, I, da Lei nº 14.133/2021,</w:t>
      </w:r>
      <w:r>
        <w:rPr>
          <w:sz w:val="24"/>
          <w:szCs w:val="24"/>
        </w:rPr>
        <w:t xml:space="preserve"> é de competência exclusiva:</w:t>
      </w:r>
    </w:p>
    <w:p w14:paraId="3147D166">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2B38F67F">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435521B4">
      <w:pPr>
        <w:spacing w:line="288" w:lineRule="auto"/>
        <w:contextualSpacing/>
        <w:jc w:val="both"/>
        <w:rPr>
          <w:sz w:val="24"/>
          <w:szCs w:val="24"/>
        </w:rPr>
      </w:pPr>
    </w:p>
    <w:p w14:paraId="33FADFBE">
      <w:pPr>
        <w:spacing w:line="288" w:lineRule="auto"/>
        <w:contextualSpacing/>
        <w:jc w:val="both"/>
        <w:rPr>
          <w:sz w:val="24"/>
          <w:szCs w:val="24"/>
        </w:rPr>
      </w:pPr>
      <w:r>
        <w:rPr>
          <w:sz w:val="24"/>
          <w:szCs w:val="24"/>
        </w:rPr>
        <w:t>16.7 A aplicação de quaisquer das penalidades administrativas realizar-se-á em processo administrativo que assegurará o contraditório e a ampla defesa ao licitante ou contratado, devendo ser observado o procedimento previsto na Lei nº 14.133/2021.</w:t>
      </w:r>
    </w:p>
    <w:p w14:paraId="3A663E56">
      <w:pPr>
        <w:spacing w:line="288" w:lineRule="auto"/>
        <w:contextualSpacing/>
        <w:jc w:val="both"/>
        <w:rPr>
          <w:sz w:val="24"/>
          <w:szCs w:val="24"/>
        </w:rPr>
      </w:pPr>
    </w:p>
    <w:p w14:paraId="7F723990">
      <w:pPr>
        <w:spacing w:line="288" w:lineRule="auto"/>
        <w:contextualSpacing/>
        <w:jc w:val="both"/>
        <w:rPr>
          <w:sz w:val="24"/>
          <w:szCs w:val="24"/>
        </w:rPr>
      </w:pPr>
      <w:r>
        <w:rPr>
          <w:sz w:val="24"/>
          <w:szCs w:val="24"/>
        </w:rPr>
        <w:t>16.7.1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5C173EB9">
      <w:pPr>
        <w:spacing w:line="288" w:lineRule="auto"/>
        <w:contextualSpacing/>
        <w:jc w:val="both"/>
        <w:rPr>
          <w:sz w:val="24"/>
          <w:szCs w:val="24"/>
        </w:rPr>
      </w:pPr>
    </w:p>
    <w:p w14:paraId="02CE3154">
      <w:pPr>
        <w:spacing w:line="288" w:lineRule="auto"/>
        <w:contextualSpacing/>
        <w:jc w:val="both"/>
        <w:rPr>
          <w:sz w:val="24"/>
          <w:szCs w:val="24"/>
        </w:rPr>
      </w:pPr>
      <w:r>
        <w:rPr>
          <w:sz w:val="24"/>
          <w:szCs w:val="24"/>
        </w:rPr>
        <w:t>16.7.2 A defesa prévia do licitante ou contratado será exercida no prazo de:</w:t>
      </w:r>
    </w:p>
    <w:p w14:paraId="3B470921">
      <w:pPr>
        <w:spacing w:line="288" w:lineRule="auto"/>
        <w:contextualSpacing/>
        <w:jc w:val="both"/>
        <w:rPr>
          <w:sz w:val="24"/>
          <w:szCs w:val="24"/>
        </w:rPr>
      </w:pPr>
      <w:r>
        <w:rPr>
          <w:sz w:val="24"/>
          <w:szCs w:val="24"/>
        </w:rPr>
        <w:t>a) 15 (quinze) dias úteis, no caso da aplicação das sanções previstas nos itens 16.2.1 e 16.2.2, contado da data da intimação;</w:t>
      </w:r>
    </w:p>
    <w:p w14:paraId="2F3617E0">
      <w:pPr>
        <w:spacing w:line="288" w:lineRule="auto"/>
        <w:contextualSpacing/>
        <w:jc w:val="both"/>
        <w:rPr>
          <w:color w:val="000000"/>
          <w:sz w:val="24"/>
          <w:szCs w:val="24"/>
        </w:rPr>
      </w:pPr>
      <w:r>
        <w:rPr>
          <w:sz w:val="24"/>
          <w:szCs w:val="24"/>
        </w:rPr>
        <w:t xml:space="preserve">b) 15 (quinze) dias úteis, no caso de aplicação das sanções previstas nos itens 16.2.3 e 16.2.4, </w:t>
      </w:r>
      <w:r>
        <w:rPr>
          <w:color w:val="000000"/>
          <w:sz w:val="24"/>
          <w:szCs w:val="24"/>
        </w:rPr>
        <w:t>contado da data da intimação, observado o procedimento estabelecido no art. 158 da Lei nº 14.133/2021.</w:t>
      </w:r>
    </w:p>
    <w:p w14:paraId="493EB189">
      <w:pPr>
        <w:pStyle w:val="24"/>
        <w:spacing w:line="288" w:lineRule="auto"/>
        <w:contextualSpacing/>
        <w:jc w:val="both"/>
      </w:pPr>
      <w:r>
        <w:t>16.7.3 Será emitida decisão conclusiva sobre a aplicação ou não da sanção, pela autoridade competente, devendo ser apresentada a devida motivação, com a demonstração dos fatos e dos respectivos fundamentos jurídicos.</w:t>
      </w:r>
    </w:p>
    <w:p w14:paraId="052DA15A">
      <w:pPr>
        <w:spacing w:line="288" w:lineRule="auto"/>
        <w:contextualSpacing/>
        <w:jc w:val="both"/>
        <w:rPr>
          <w:sz w:val="24"/>
          <w:szCs w:val="24"/>
        </w:rPr>
      </w:pPr>
      <w:r>
        <w:rPr>
          <w:sz w:val="24"/>
          <w:szCs w:val="24"/>
        </w:rPr>
        <w:t>16.8 A aplicação das sanções previstas no Edital e no Contrato não exclui, em hipótese alguma:</w:t>
      </w:r>
    </w:p>
    <w:p w14:paraId="42939F3C">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34509AB6">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134C10C3">
      <w:pPr>
        <w:spacing w:line="288" w:lineRule="auto"/>
        <w:contextualSpacing/>
        <w:jc w:val="both"/>
        <w:rPr>
          <w:rFonts w:eastAsia="Arial"/>
          <w:color w:val="000000"/>
          <w:sz w:val="24"/>
          <w:szCs w:val="24"/>
        </w:rPr>
      </w:pPr>
    </w:p>
    <w:p w14:paraId="682BB7BE">
      <w:pPr>
        <w:spacing w:line="288" w:lineRule="auto"/>
        <w:contextualSpacing/>
        <w:jc w:val="both"/>
        <w:rPr>
          <w:rFonts w:eastAsia="Arial"/>
          <w:color w:val="000000"/>
          <w:sz w:val="24"/>
          <w:szCs w:val="24"/>
        </w:rPr>
      </w:pPr>
      <w:r>
        <w:rPr>
          <w:rFonts w:eastAsia="Arial"/>
          <w:color w:val="000000"/>
          <w:sz w:val="24"/>
          <w:szCs w:val="24"/>
        </w:rPr>
        <w:t xml:space="preserve">16.8.1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7034E8FC">
      <w:pPr>
        <w:spacing w:line="288" w:lineRule="auto"/>
        <w:contextualSpacing/>
        <w:jc w:val="both"/>
        <w:rPr>
          <w:rFonts w:eastAsia="Arial"/>
          <w:color w:val="000000"/>
          <w:sz w:val="24"/>
          <w:szCs w:val="24"/>
        </w:rPr>
      </w:pPr>
    </w:p>
    <w:p w14:paraId="38DAFA24">
      <w:pPr>
        <w:spacing w:line="288" w:lineRule="auto"/>
        <w:contextualSpacing/>
        <w:jc w:val="both"/>
        <w:rPr>
          <w:rFonts w:eastAsia="Arial"/>
          <w:color w:val="000000"/>
          <w:sz w:val="24"/>
          <w:szCs w:val="24"/>
        </w:rPr>
      </w:pPr>
      <w:r>
        <w:rPr>
          <w:sz w:val="24"/>
          <w:szCs w:val="24"/>
        </w:rPr>
        <w:t>16</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43BB14D0">
      <w:pPr>
        <w:spacing w:line="288" w:lineRule="auto"/>
        <w:contextualSpacing/>
        <w:jc w:val="both"/>
        <w:rPr>
          <w:rFonts w:eastAsia="Arial"/>
          <w:color w:val="000000"/>
          <w:sz w:val="24"/>
          <w:szCs w:val="24"/>
        </w:rPr>
      </w:pPr>
    </w:p>
    <w:p w14:paraId="7B1A5251">
      <w:pPr>
        <w:spacing w:line="288" w:lineRule="auto"/>
        <w:contextualSpacing/>
        <w:jc w:val="both"/>
        <w:rPr>
          <w:sz w:val="24"/>
          <w:szCs w:val="24"/>
        </w:rPr>
      </w:pPr>
      <w:r>
        <w:rPr>
          <w:sz w:val="24"/>
          <w:szCs w:val="24"/>
        </w:rPr>
        <w:t xml:space="preserve">16.10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BD4D6B3">
      <w:pPr>
        <w:spacing w:line="288" w:lineRule="auto"/>
        <w:contextualSpacing/>
        <w:jc w:val="both"/>
        <w:rPr>
          <w:sz w:val="24"/>
          <w:szCs w:val="24"/>
        </w:rPr>
      </w:pPr>
    </w:p>
    <w:p w14:paraId="6F3D72CE">
      <w:pPr>
        <w:spacing w:line="288" w:lineRule="auto"/>
        <w:contextualSpacing/>
        <w:jc w:val="both"/>
        <w:rPr>
          <w:sz w:val="24"/>
          <w:szCs w:val="24"/>
        </w:rPr>
      </w:pPr>
      <w:r>
        <w:rPr>
          <w:sz w:val="24"/>
          <w:szCs w:val="24"/>
        </w:rPr>
        <w:t>16.10.1 A apuração e o julgamento das demais infrações administrativas não consideradas como ato lesivo à Administração Pública nacional, nos termos da Lei nº 12.846/2013, seguirão seu rito normal na unidade administrativa.</w:t>
      </w:r>
    </w:p>
    <w:p w14:paraId="236A4A9D">
      <w:pPr>
        <w:spacing w:line="288" w:lineRule="auto"/>
        <w:contextualSpacing/>
        <w:jc w:val="both"/>
        <w:rPr>
          <w:sz w:val="24"/>
          <w:szCs w:val="24"/>
        </w:rPr>
      </w:pPr>
    </w:p>
    <w:p w14:paraId="3FBD3397">
      <w:pPr>
        <w:spacing w:line="288" w:lineRule="auto"/>
        <w:contextualSpacing/>
        <w:jc w:val="both"/>
        <w:rPr>
          <w:sz w:val="24"/>
          <w:szCs w:val="24"/>
        </w:rPr>
      </w:pPr>
      <w:r>
        <w:rPr>
          <w:sz w:val="24"/>
          <w:szCs w:val="24"/>
        </w:rPr>
        <w:t xml:space="preserve">16.10.2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5870F76E">
      <w:pPr>
        <w:spacing w:line="288" w:lineRule="auto"/>
        <w:contextualSpacing/>
        <w:jc w:val="both"/>
        <w:rPr>
          <w:sz w:val="24"/>
          <w:szCs w:val="24"/>
        </w:rPr>
      </w:pPr>
    </w:p>
    <w:p w14:paraId="00D10D0F">
      <w:pPr>
        <w:spacing w:line="288" w:lineRule="auto"/>
        <w:contextualSpacing/>
        <w:jc w:val="both"/>
        <w:rPr>
          <w:sz w:val="24"/>
          <w:szCs w:val="24"/>
        </w:rPr>
      </w:pPr>
      <w:r>
        <w:rPr>
          <w:sz w:val="24"/>
          <w:szCs w:val="24"/>
        </w:rPr>
        <w:t>16.10.2.1 Caso seja possível, a apuração deverá ser promovida em conjunto no PAR.</w:t>
      </w:r>
    </w:p>
    <w:p w14:paraId="6EEEA09C">
      <w:pPr>
        <w:spacing w:line="288" w:lineRule="auto"/>
        <w:contextualSpacing/>
        <w:jc w:val="both"/>
        <w:rPr>
          <w:sz w:val="24"/>
          <w:szCs w:val="24"/>
        </w:rPr>
      </w:pPr>
    </w:p>
    <w:p w14:paraId="5394684C">
      <w:pPr>
        <w:spacing w:line="288" w:lineRule="auto"/>
        <w:contextualSpacing/>
        <w:jc w:val="both"/>
        <w:rPr>
          <w:sz w:val="24"/>
          <w:szCs w:val="24"/>
        </w:rPr>
      </w:pPr>
      <w:r>
        <w:rPr>
          <w:sz w:val="24"/>
          <w:szCs w:val="24"/>
        </w:rPr>
        <w:t>16.11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7F721913">
      <w:pPr>
        <w:spacing w:line="288" w:lineRule="auto"/>
        <w:contextualSpacing/>
        <w:jc w:val="both"/>
        <w:rPr>
          <w:sz w:val="24"/>
          <w:szCs w:val="24"/>
        </w:rPr>
      </w:pPr>
    </w:p>
    <w:p w14:paraId="5738FC91">
      <w:pPr>
        <w:autoSpaceDE w:val="0"/>
        <w:autoSpaceDN w:val="0"/>
        <w:adjustRightInd w:val="0"/>
        <w:spacing w:line="288" w:lineRule="auto"/>
        <w:contextualSpacing/>
        <w:jc w:val="both"/>
        <w:rPr>
          <w:sz w:val="24"/>
          <w:szCs w:val="24"/>
        </w:rPr>
      </w:pPr>
      <w:r>
        <w:rPr>
          <w:sz w:val="24"/>
          <w:szCs w:val="24"/>
        </w:rPr>
        <w:t>16.11.1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403E1A85">
      <w:pPr>
        <w:autoSpaceDE w:val="0"/>
        <w:autoSpaceDN w:val="0"/>
        <w:adjustRightInd w:val="0"/>
        <w:spacing w:line="288" w:lineRule="auto"/>
        <w:contextualSpacing/>
        <w:jc w:val="both"/>
        <w:rPr>
          <w:sz w:val="24"/>
          <w:szCs w:val="24"/>
        </w:rPr>
      </w:pPr>
    </w:p>
    <w:p w14:paraId="298C43F9">
      <w:pPr>
        <w:pStyle w:val="69"/>
        <w:spacing w:line="288" w:lineRule="auto"/>
        <w:contextualSpacing/>
        <w:jc w:val="both"/>
        <w:rPr>
          <w:rFonts w:ascii="Times New Roman" w:hAnsi="Times New Roman" w:cs="Times New Roman"/>
        </w:rPr>
      </w:pPr>
      <w:r>
        <w:rPr>
          <w:rFonts w:ascii="Times New Roman" w:hAnsi="Times New Roman" w:cs="Times New Roman"/>
        </w:rPr>
        <w:t>16.12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05187144">
      <w:pPr>
        <w:pStyle w:val="69"/>
        <w:spacing w:line="288" w:lineRule="auto"/>
        <w:contextualSpacing/>
        <w:jc w:val="both"/>
        <w:rPr>
          <w:rFonts w:ascii="Times New Roman" w:hAnsi="Times New Roman" w:cs="Times New Roman"/>
        </w:rPr>
      </w:pPr>
    </w:p>
    <w:p w14:paraId="15BDEDF6">
      <w:pPr>
        <w:pStyle w:val="69"/>
        <w:spacing w:line="288" w:lineRule="auto"/>
        <w:contextualSpacing/>
        <w:jc w:val="both"/>
        <w:rPr>
          <w:rFonts w:ascii="Times New Roman" w:hAnsi="Times New Roman" w:cs="Times New Roman"/>
        </w:rPr>
      </w:pPr>
      <w:r>
        <w:rPr>
          <w:rFonts w:ascii="Times New Roman" w:hAnsi="Times New Roman" w:cs="Times New Roman"/>
        </w:rPr>
        <w:t>16.12.1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325EA8F2">
      <w:pPr>
        <w:pStyle w:val="69"/>
        <w:spacing w:line="288" w:lineRule="auto"/>
        <w:contextualSpacing/>
        <w:jc w:val="both"/>
        <w:rPr>
          <w:rFonts w:ascii="Times New Roman" w:hAnsi="Times New Roman" w:cs="Times New Roman"/>
        </w:rPr>
      </w:pPr>
    </w:p>
    <w:p w14:paraId="748416B1">
      <w:pPr>
        <w:spacing w:line="288" w:lineRule="auto"/>
        <w:contextualSpacing/>
        <w:jc w:val="both"/>
        <w:rPr>
          <w:sz w:val="24"/>
          <w:szCs w:val="24"/>
        </w:rPr>
      </w:pPr>
      <w:r>
        <w:rPr>
          <w:sz w:val="24"/>
          <w:szCs w:val="24"/>
        </w:rPr>
        <w:t xml:space="preserve">16.13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0A6768C9">
      <w:pPr>
        <w:spacing w:line="288" w:lineRule="auto"/>
        <w:contextualSpacing/>
        <w:jc w:val="both"/>
        <w:rPr>
          <w:sz w:val="24"/>
          <w:szCs w:val="24"/>
        </w:rPr>
      </w:pPr>
    </w:p>
    <w:p w14:paraId="3C2B8A76">
      <w:pPr>
        <w:spacing w:line="288" w:lineRule="auto"/>
        <w:contextualSpacing/>
        <w:jc w:val="both"/>
        <w:rPr>
          <w:sz w:val="24"/>
          <w:szCs w:val="24"/>
        </w:rPr>
      </w:pPr>
      <w:r>
        <w:rPr>
          <w:sz w:val="24"/>
          <w:szCs w:val="24"/>
        </w:rPr>
        <w:t>16.13.1 A nota de débito deverá ser encaminhada à Departamento de Cadastro Controle e Arrecadação para inscrição do débito em dívida ativa e propositura de execução fiscal, na forma do art. 39 da Lei nº 4.320, de 17 de março de 1964.</w:t>
      </w:r>
    </w:p>
    <w:p w14:paraId="6D6BA77B">
      <w:pPr>
        <w:spacing w:line="288" w:lineRule="auto"/>
        <w:contextualSpacing/>
        <w:jc w:val="both"/>
        <w:rPr>
          <w:sz w:val="24"/>
          <w:szCs w:val="24"/>
        </w:rPr>
      </w:pPr>
    </w:p>
    <w:p w14:paraId="560518FC">
      <w:pPr>
        <w:spacing w:line="288" w:lineRule="auto"/>
        <w:contextualSpacing/>
        <w:jc w:val="both"/>
        <w:rPr>
          <w:sz w:val="24"/>
          <w:szCs w:val="24"/>
        </w:rPr>
      </w:pPr>
      <w:r>
        <w:rPr>
          <w:sz w:val="24"/>
          <w:szCs w:val="24"/>
        </w:rPr>
        <w:t xml:space="preserve">16.13.2 O procedimento para inscrição do débito em dívida ativa deverá observar o que dispõe a Lei Complementar nº: 279/2024. </w:t>
      </w:r>
    </w:p>
    <w:p w14:paraId="31117568">
      <w:pPr>
        <w:pStyle w:val="69"/>
        <w:spacing w:line="360" w:lineRule="auto"/>
        <w:jc w:val="both"/>
        <w:rPr>
          <w:rFonts w:ascii="Times New Roman" w:hAnsi="Times New Roman" w:cs="Times New Roman"/>
          <w:color w:val="auto"/>
        </w:rPr>
      </w:pPr>
    </w:p>
    <w:p w14:paraId="05D1EC21">
      <w:pPr>
        <w:pStyle w:val="96"/>
        <w:spacing w:before="0" w:beforeAutospacing="0" w:after="0" w:afterAutospacing="0" w:line="288" w:lineRule="auto"/>
        <w:contextualSpacing/>
        <w:jc w:val="both"/>
        <w:rPr>
          <w:rFonts w:eastAsia="Calibri"/>
          <w:b/>
          <w:bCs/>
          <w:lang w:eastAsia="en-US"/>
        </w:rPr>
      </w:pPr>
      <w:r>
        <w:rPr>
          <w:rFonts w:eastAsia="Calibri"/>
          <w:b/>
          <w:bCs/>
          <w:lang w:eastAsia="en-US"/>
        </w:rPr>
        <w:t>17. DAS DISPOSIÇÕES GERAIS</w:t>
      </w:r>
    </w:p>
    <w:p w14:paraId="615C5D3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17.1 Será divulgada ata da sessão pública no sistema eletrônico.</w:t>
      </w:r>
    </w:p>
    <w:p w14:paraId="2F700B46">
      <w:pPr>
        <w:pStyle w:val="98"/>
        <w:spacing w:before="288" w:beforeLines="120" w:after="288" w:afterLines="120" w:line="288" w:lineRule="auto"/>
        <w:ind w:left="0" w:firstLine="0"/>
        <w:contextualSpacing/>
        <w:rPr>
          <w:rFonts w:ascii="Times New Roman" w:hAnsi="Times New Roman" w:cs="Times New Roman"/>
          <w:sz w:val="24"/>
          <w:szCs w:val="24"/>
        </w:rPr>
      </w:pPr>
    </w:p>
    <w:p w14:paraId="786D5A8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6373F5F">
      <w:pPr>
        <w:pStyle w:val="98"/>
        <w:spacing w:before="288" w:beforeLines="120" w:after="288" w:afterLines="120" w:line="288" w:lineRule="auto"/>
        <w:ind w:left="0" w:firstLine="0"/>
        <w:contextualSpacing/>
        <w:rPr>
          <w:rFonts w:ascii="Times New Roman" w:hAnsi="Times New Roman" w:cs="Times New Roman"/>
          <w:sz w:val="24"/>
          <w:szCs w:val="24"/>
        </w:rPr>
      </w:pPr>
    </w:p>
    <w:p w14:paraId="6086CDE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17.3 Todas as referências de tempo no Edital, no aviso e durante a sessão pública observarão o horário de Brasília - DF.</w:t>
      </w:r>
    </w:p>
    <w:p w14:paraId="2E958E61">
      <w:pPr>
        <w:pStyle w:val="98"/>
        <w:spacing w:before="288" w:beforeLines="120" w:after="288" w:afterLines="120" w:line="288" w:lineRule="auto"/>
        <w:ind w:left="0" w:firstLine="0"/>
        <w:contextualSpacing/>
        <w:rPr>
          <w:rFonts w:ascii="Times New Roman" w:hAnsi="Times New Roman" w:cs="Times New Roman"/>
          <w:sz w:val="24"/>
          <w:szCs w:val="24"/>
        </w:rPr>
      </w:pPr>
    </w:p>
    <w:p w14:paraId="3A83DDF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17.4 A homologação do resultado desta licitação não implicará direito à contratação.</w:t>
      </w:r>
    </w:p>
    <w:p w14:paraId="6FE6B4C0">
      <w:pPr>
        <w:pStyle w:val="98"/>
        <w:spacing w:before="288" w:beforeLines="120" w:after="288" w:afterLines="120" w:line="288" w:lineRule="auto"/>
        <w:ind w:left="0" w:firstLine="0"/>
        <w:contextualSpacing/>
        <w:rPr>
          <w:rFonts w:ascii="Times New Roman" w:hAnsi="Times New Roman" w:cs="Times New Roman"/>
          <w:sz w:val="24"/>
          <w:szCs w:val="24"/>
        </w:rPr>
      </w:pPr>
    </w:p>
    <w:p w14:paraId="00B1252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17.5 As normas disciplinadoras da licitação serão sempre interpretadas em favor da ampliação da disputa entre os interessados, desde que não comprometam o interesse da Administração, o princípio da isonomia, a finalidade e a segurança da contratação. </w:t>
      </w:r>
    </w:p>
    <w:p w14:paraId="26EB4FAB">
      <w:pPr>
        <w:pStyle w:val="98"/>
        <w:spacing w:before="288" w:beforeLines="120" w:after="288" w:afterLines="120" w:line="288" w:lineRule="auto"/>
        <w:ind w:left="0" w:firstLine="0"/>
        <w:contextualSpacing/>
        <w:rPr>
          <w:rFonts w:ascii="Times New Roman" w:hAnsi="Times New Roman" w:cs="Times New Roman"/>
          <w:sz w:val="24"/>
          <w:szCs w:val="24"/>
        </w:rPr>
      </w:pPr>
    </w:p>
    <w:p w14:paraId="2C5C0853">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17.6 Os licitantes assumem todos os custos de preparação e apresentação de suas propostas e a Administração não será, em nenhum caso, responsável por esses custos, independentemente da condução ou do resultado do processo licitatório.</w:t>
      </w:r>
    </w:p>
    <w:p w14:paraId="61B815C7">
      <w:pPr>
        <w:pStyle w:val="98"/>
        <w:spacing w:before="288" w:beforeLines="120" w:after="288" w:afterLines="120" w:line="288" w:lineRule="auto"/>
        <w:ind w:left="0" w:firstLine="0"/>
        <w:contextualSpacing/>
        <w:rPr>
          <w:rFonts w:ascii="Times New Roman" w:hAnsi="Times New Roman" w:cs="Times New Roman"/>
          <w:sz w:val="24"/>
          <w:szCs w:val="24"/>
        </w:rPr>
      </w:pPr>
    </w:p>
    <w:p w14:paraId="6E286FA2">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17.7 Na contagem dos prazos estabelecidos neste Edital e seus Anexos, excluir-se-á o dia do início e incluir-se-á o do vencimento. Só se iniciam e vencem os prazos em dias de expediente na Administração.</w:t>
      </w:r>
    </w:p>
    <w:p w14:paraId="204F976F">
      <w:pPr>
        <w:pStyle w:val="98"/>
        <w:spacing w:before="288" w:beforeLines="120" w:after="288" w:afterLines="120" w:line="288" w:lineRule="auto"/>
        <w:ind w:left="0" w:firstLine="0"/>
        <w:contextualSpacing/>
        <w:rPr>
          <w:rFonts w:ascii="Times New Roman" w:hAnsi="Times New Roman" w:cs="Times New Roman"/>
          <w:sz w:val="24"/>
          <w:szCs w:val="24"/>
        </w:rPr>
      </w:pPr>
    </w:p>
    <w:p w14:paraId="2871414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17.8 O desatendimento de exigências formais não essenciais não importará o afastamento do licitante, desde que seja possível o aproveitamento do ato, observados os princípios da isonomia e do interesse público.</w:t>
      </w:r>
    </w:p>
    <w:p w14:paraId="1BE25DB2">
      <w:pPr>
        <w:pStyle w:val="98"/>
        <w:spacing w:before="288" w:beforeLines="120" w:after="288" w:afterLines="120" w:line="288" w:lineRule="auto"/>
        <w:ind w:left="0" w:firstLine="0"/>
        <w:contextualSpacing/>
        <w:rPr>
          <w:rFonts w:ascii="Times New Roman" w:hAnsi="Times New Roman" w:cs="Times New Roman"/>
          <w:sz w:val="24"/>
          <w:szCs w:val="24"/>
        </w:rPr>
      </w:pPr>
    </w:p>
    <w:p w14:paraId="563136C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17.9 Em caso de divergência entre disposições deste Edital e de seus anexos ou demais peças que compõem o processo, prevalecerão as deste Edital.</w:t>
      </w:r>
    </w:p>
    <w:p w14:paraId="390F4437">
      <w:pPr>
        <w:pStyle w:val="98"/>
        <w:spacing w:before="288" w:beforeLines="120" w:after="288" w:afterLines="120" w:line="288" w:lineRule="auto"/>
        <w:ind w:left="0" w:firstLine="0"/>
        <w:contextualSpacing/>
        <w:rPr>
          <w:rFonts w:ascii="Times New Roman" w:hAnsi="Times New Roman" w:cs="Times New Roman"/>
          <w:sz w:val="24"/>
          <w:szCs w:val="24"/>
        </w:rPr>
      </w:pPr>
    </w:p>
    <w:p w14:paraId="19B8B63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5E342E3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12DD7E40">
      <w:pPr>
        <w:pStyle w:val="102"/>
        <w:spacing w:before="288" w:beforeLines="120" w:after="288" w:afterLines="120" w:line="288" w:lineRule="auto"/>
        <w:ind w:left="0" w:firstLine="0"/>
        <w:contextualSpacing/>
        <w:rPr>
          <w:rFonts w:ascii="Times New Roman" w:hAnsi="Times New Roman" w:cs="Times New Roman"/>
          <w:sz w:val="24"/>
          <w:szCs w:val="24"/>
        </w:rPr>
      </w:pPr>
      <w:bookmarkStart w:id="35" w:name="_Hlk154231260"/>
      <w:r>
        <w:rPr>
          <w:rFonts w:ascii="Times New Roman" w:hAnsi="Times New Roman" w:cs="Times New Roman"/>
          <w:sz w:val="24"/>
          <w:szCs w:val="24"/>
        </w:rPr>
        <w:t>Anexo I - Termo de Referência</w:t>
      </w:r>
    </w:p>
    <w:p w14:paraId="56410C4E">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1881E8E0">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4ACF995D">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93B6346">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165C29C8">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Minuta de Termo de Contrato</w:t>
      </w:r>
    </w:p>
    <w:p w14:paraId="68BB9DB8">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Anexo VII - </w:t>
      </w:r>
      <w:r>
        <w:rPr>
          <w:rFonts w:ascii="Times New Roman" w:hAnsi="Times New Roman" w:cs="Times New Roman"/>
          <w:color w:val="000000" w:themeColor="text1"/>
          <w:sz w:val="24"/>
          <w:szCs w:val="24"/>
          <w14:textFill>
            <w14:solidFill>
              <w14:schemeClr w14:val="tx1"/>
            </w14:solidFill>
          </w14:textFill>
        </w:rPr>
        <w:t>Declarações</w:t>
      </w:r>
    </w:p>
    <w:bookmarkEnd w:id="35"/>
    <w:p w14:paraId="009E814D">
      <w:pPr>
        <w:pStyle w:val="102"/>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4D5B2962">
      <w:pPr>
        <w:pStyle w:val="102"/>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29 de abril de 2026</w:t>
      </w:r>
    </w:p>
    <w:p w14:paraId="514A4DF9">
      <w:pPr>
        <w:pStyle w:val="102"/>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p>
    <w:p w14:paraId="57A7DAE9">
      <w:pPr>
        <w:pStyle w:val="102"/>
        <w:spacing w:before="288" w:beforeLines="120" w:after="288" w:afterLines="120" w:line="288" w:lineRule="auto"/>
        <w:ind w:left="0" w:firstLine="0"/>
        <w:contextualSpacing/>
        <w:jc w:val="center"/>
        <w:rPr>
          <w:rFonts w:eastAsia="MS Mincho"/>
          <w:b/>
          <w:color w:val="000000" w:themeColor="text1"/>
          <w:sz w:val="24"/>
          <w:szCs w:val="24"/>
          <w14:textFill>
            <w14:solidFill>
              <w14:schemeClr w14:val="tx1"/>
            </w14:solidFill>
          </w14:textFill>
        </w:rPr>
      </w:pPr>
      <w:bookmarkStart w:id="41" w:name="_GoBack"/>
      <w:r>
        <w:rPr>
          <w:rFonts w:eastAsia="MS Mincho"/>
          <w:b/>
          <w:color w:val="000000" w:themeColor="text1"/>
          <w:sz w:val="24"/>
          <w:szCs w:val="24"/>
          <w14:textFill>
            <w14:solidFill>
              <w14:schemeClr w14:val="tx1"/>
            </w14:solidFill>
          </w14:textFill>
        </w:rPr>
        <w:t>Secretaria Municipal de Saúde</w:t>
      </w:r>
    </w:p>
    <w:bookmarkEnd w:id="41"/>
    <w:p w14:paraId="79C28D65">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30D3A422">
      <w:pPr>
        <w:spacing w:before="288" w:beforeLines="120" w:after="288" w:afterLines="120" w:line="288" w:lineRule="auto"/>
        <w:contextualSpacing/>
        <w:rPr>
          <w:rFonts w:eastAsia="MS Mincho" w:asciiTheme="minorHAnsi" w:hAnsiTheme="minorHAnsi" w:cstheme="minorHAnsi"/>
          <w:b/>
          <w:color w:val="000000" w:themeColor="text1"/>
          <w:sz w:val="24"/>
          <w:szCs w:val="24"/>
          <w14:textFill>
            <w14:solidFill>
              <w14:schemeClr w14:val="tx1"/>
            </w14:solidFill>
          </w14:textFill>
        </w:rPr>
      </w:pPr>
    </w:p>
    <w:p w14:paraId="2290D074">
      <w:pPr>
        <w:spacing w:before="288" w:beforeLines="120" w:after="288" w:afterLines="120" w:line="288" w:lineRule="auto"/>
        <w:contextualSpacing/>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ANEXO I</w:t>
      </w:r>
    </w:p>
    <w:p w14:paraId="0022B4A2">
      <w:pPr>
        <w:spacing w:before="288" w:beforeLines="120" w:after="288" w:afterLines="120" w:line="288" w:lineRule="auto"/>
        <w:contextualSpacing/>
        <w:jc w:val="center"/>
        <w:rPr>
          <w:rFonts w:eastAsia="MS Mincho"/>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3A7D7296">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szCs w:val="24"/>
        </w:rPr>
      </w:pPr>
    </w:p>
    <w:p w14:paraId="28203734">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rPr>
      </w:pPr>
      <w:r>
        <w:rPr>
          <w:rFonts w:ascii="Times New Roman" w:hAnsi="Times New Roman" w:eastAsia="Times New Roman" w:cs="Times New Roman"/>
          <w:b/>
          <w:bCs/>
          <w:szCs w:val="24"/>
        </w:rPr>
        <w:t xml:space="preserve">ÓRGÃO: </w:t>
      </w:r>
      <w:r>
        <w:rPr>
          <w:rFonts w:ascii="Times New Roman" w:hAnsi="Times New Roman" w:eastAsia="Times New Roman" w:cs="Times New Roman"/>
          <w:szCs w:val="24"/>
        </w:rPr>
        <w:t>Secretaria Municipal de Saúde</w:t>
      </w:r>
    </w:p>
    <w:p w14:paraId="76F27DC9">
      <w:pPr>
        <w:spacing w:line="360" w:lineRule="auto"/>
        <w:contextualSpacing/>
        <w:rPr>
          <w:sz w:val="24"/>
          <w:szCs w:val="24"/>
        </w:rPr>
      </w:pPr>
      <w:r>
        <w:rPr>
          <w:b/>
          <w:bCs/>
          <w:sz w:val="24"/>
          <w:szCs w:val="24"/>
        </w:rPr>
        <w:t xml:space="preserve">SETOR REQUISITANTE: </w:t>
      </w:r>
      <w:r>
        <w:rPr>
          <w:sz w:val="24"/>
          <w:szCs w:val="24"/>
        </w:rPr>
        <w:t>Programa Melhor em Casa - Serviço de Atendimento Domciliar - SAD</w:t>
      </w:r>
    </w:p>
    <w:p w14:paraId="4FD07530">
      <w:pPr>
        <w:spacing w:line="360" w:lineRule="auto"/>
        <w:contextualSpacing/>
        <w:rPr>
          <w:sz w:val="24"/>
          <w:szCs w:val="24"/>
        </w:rPr>
      </w:pPr>
      <w:r>
        <w:rPr>
          <w:b/>
          <w:bCs/>
          <w:sz w:val="24"/>
          <w:szCs w:val="24"/>
        </w:rPr>
        <w:t xml:space="preserve">RESPONSÁVEL PELA DEMANDA: </w:t>
      </w:r>
      <w:r>
        <w:rPr>
          <w:sz w:val="24"/>
          <w:szCs w:val="24"/>
        </w:rPr>
        <w:t>Flavine Mara Chaves</w:t>
      </w:r>
    </w:p>
    <w:p w14:paraId="0B2CA54E">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r>
        <w:rPr>
          <w:rFonts w:ascii="Times New Roman" w:hAnsi="Times New Roman" w:eastAsia="Times New Roman" w:cs="Times New Roman"/>
          <w:b/>
          <w:bCs/>
          <w:szCs w:val="24"/>
        </w:rPr>
        <w:t xml:space="preserve">MATRÍCULA: </w:t>
      </w:r>
      <w:r>
        <w:rPr>
          <w:rFonts w:ascii="Times New Roman" w:hAnsi="Times New Roman" w:eastAsia="Times New Roman" w:cs="Times New Roman"/>
          <w:bCs/>
          <w:szCs w:val="24"/>
        </w:rPr>
        <w:t>143.812</w:t>
      </w:r>
    </w:p>
    <w:p w14:paraId="6B364319">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r>
        <w:rPr>
          <w:rFonts w:ascii="Times New Roman" w:hAnsi="Times New Roman" w:eastAsia="Times New Roman" w:cs="Times New Roman"/>
          <w:bCs/>
          <w:color w:val="auto"/>
          <w:szCs w:val="24"/>
        </w:rPr>
        <w:t>PROCESSO ADMINISTRATIVO: VLC-020508/000395/2026</w:t>
      </w:r>
    </w:p>
    <w:p w14:paraId="1BB914B7">
      <w:pPr>
        <w:spacing w:line="360" w:lineRule="auto"/>
        <w:jc w:val="both"/>
        <w:rPr>
          <w:rFonts w:eastAsia="Cambria Math"/>
          <w:b/>
        </w:rPr>
      </w:pPr>
      <w:r>
        <w:rPr>
          <w:rFonts w:eastAsia="Cambria Math"/>
          <w:b/>
        </w:rPr>
        <w:t>1 – OBJETO</w:t>
      </w:r>
    </w:p>
    <w:p w14:paraId="265C630F">
      <w:pPr>
        <w:spacing w:line="360" w:lineRule="auto"/>
        <w:jc w:val="both"/>
        <w:rPr>
          <w:rFonts w:eastAsia="SimSun"/>
          <w:sz w:val="24"/>
          <w:szCs w:val="24"/>
        </w:rPr>
      </w:pPr>
      <w:r>
        <w:rPr>
          <w:rFonts w:eastAsia="SimSun"/>
          <w:sz w:val="24"/>
          <w:szCs w:val="24"/>
        </w:rPr>
        <w:t>Aquisição de veículo para transporte da equipe multiprofissional do Serviço de Atendimento Domiciliar conforme estabelece seus critérios na portaria nº 825, de 25 de abril de 2016, destinada ao fortalecimento das ações e ao cuidado com o paciente. Proposta de Equipamento nº 11934211000125002.</w:t>
      </w:r>
    </w:p>
    <w:p w14:paraId="3FC9B5D7">
      <w:pPr>
        <w:spacing w:line="368" w:lineRule="auto"/>
        <w:ind w:left="720" w:right="16"/>
        <w:rPr>
          <w:b/>
          <w:sz w:val="24"/>
          <w:szCs w:val="24"/>
          <w:u w:val="single"/>
        </w:rPr>
      </w:pPr>
    </w:p>
    <w:p w14:paraId="3741C131">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11C46096">
      <w:pPr>
        <w:pStyle w:val="272"/>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2</w:t>
      </w:r>
      <w:r>
        <w:rPr>
          <w:rFonts w:ascii="Times New Roman" w:hAnsi="Times New Roman" w:eastAsia="Cambria Math" w:cs="Times New Roman"/>
          <w:b/>
          <w:lang w:val="en-US"/>
        </w:rPr>
        <w:t xml:space="preserve"> - </w:t>
      </w:r>
      <w:r>
        <w:rPr>
          <w:rFonts w:ascii="Times New Roman" w:hAnsi="Times New Roman" w:eastAsia="Times New Roman" w:cs="Times New Roman"/>
          <w:b/>
          <w:sz w:val="24"/>
          <w:szCs w:val="24"/>
        </w:rPr>
        <w:t>NECESSIDADE DA CONTRATAÇÃO</w:t>
      </w:r>
    </w:p>
    <w:p w14:paraId="35BA0B59">
      <w:pPr>
        <w:pStyle w:val="24"/>
        <w:spacing w:line="360" w:lineRule="auto"/>
        <w:jc w:val="both"/>
      </w:pPr>
      <w:r>
        <w:t>O Serviço de Atendimento Domiciliar (SAD) é responsável pela prestação de cuidados de saúde no domicílio dos usuários do Sistema Único de Saúde (SUS), garantindo assistência contínua, humanizada e integral, especialmente a pacientes com dificuldade de locomoção ou em condições clínicas que demandam acompanhamento frequente.</w:t>
      </w:r>
    </w:p>
    <w:p w14:paraId="3D52194B">
      <w:pPr>
        <w:pStyle w:val="24"/>
        <w:spacing w:line="360" w:lineRule="auto"/>
        <w:jc w:val="both"/>
      </w:pPr>
      <w:r>
        <w:t>A execução das atividades do SAD depende diretamente do deslocamento da equipe multiprofissional, composta por médicos, enfermeiros, técnicos de enfermagem, fisioterapeutas e outros profissionais, até as residências dos pacientes distribuídos em diferentes áreas do município.</w:t>
      </w:r>
    </w:p>
    <w:p w14:paraId="11A1226C">
      <w:pPr>
        <w:pStyle w:val="24"/>
        <w:spacing w:line="360" w:lineRule="auto"/>
        <w:jc w:val="both"/>
      </w:pPr>
      <w:r>
        <w:t>Entretanto, verifica-se a insuficiência/ausência de veículo exclusivo para atendimento do serviço, o que compromete a logística operacional, ocasionando:</w:t>
      </w:r>
    </w:p>
    <w:p w14:paraId="6DB24A58">
      <w:pPr>
        <w:numPr>
          <w:ilvl w:val="0"/>
          <w:numId w:val="6"/>
        </w:numPr>
        <w:spacing w:beforeAutospacing="1" w:afterAutospacing="1" w:line="360" w:lineRule="auto"/>
        <w:jc w:val="both"/>
        <w:rPr>
          <w:sz w:val="24"/>
          <w:szCs w:val="24"/>
        </w:rPr>
      </w:pPr>
      <w:r>
        <w:rPr>
          <w:sz w:val="24"/>
          <w:szCs w:val="24"/>
        </w:rPr>
        <w:t xml:space="preserve">atrasos nos atendimentos programados; </w:t>
      </w:r>
    </w:p>
    <w:p w14:paraId="6BDB0C40">
      <w:pPr>
        <w:numPr>
          <w:ilvl w:val="0"/>
          <w:numId w:val="6"/>
        </w:numPr>
        <w:spacing w:beforeAutospacing="1" w:afterAutospacing="1" w:line="360" w:lineRule="auto"/>
        <w:jc w:val="both"/>
        <w:rPr>
          <w:sz w:val="24"/>
          <w:szCs w:val="24"/>
        </w:rPr>
      </w:pPr>
      <w:r>
        <w:rPr>
          <w:sz w:val="24"/>
          <w:szCs w:val="24"/>
        </w:rPr>
        <w:t xml:space="preserve">redução da capacidade de cobertura assistencial; </w:t>
      </w:r>
    </w:p>
    <w:p w14:paraId="4D71DDDF">
      <w:pPr>
        <w:numPr>
          <w:ilvl w:val="0"/>
          <w:numId w:val="6"/>
        </w:numPr>
        <w:spacing w:beforeAutospacing="1" w:afterAutospacing="1" w:line="360" w:lineRule="auto"/>
        <w:jc w:val="both"/>
        <w:rPr>
          <w:sz w:val="24"/>
          <w:szCs w:val="24"/>
        </w:rPr>
      </w:pPr>
      <w:r>
        <w:rPr>
          <w:sz w:val="24"/>
          <w:szCs w:val="24"/>
        </w:rPr>
        <w:t xml:space="preserve">dificuldades no transporte de equipamentos e insumos; </w:t>
      </w:r>
    </w:p>
    <w:p w14:paraId="2459A023">
      <w:pPr>
        <w:numPr>
          <w:ilvl w:val="0"/>
          <w:numId w:val="6"/>
        </w:numPr>
        <w:spacing w:beforeAutospacing="1" w:afterAutospacing="1" w:line="360" w:lineRule="auto"/>
        <w:jc w:val="both"/>
        <w:rPr>
          <w:sz w:val="24"/>
          <w:szCs w:val="24"/>
        </w:rPr>
      </w:pPr>
      <w:r>
        <w:rPr>
          <w:sz w:val="24"/>
          <w:szCs w:val="24"/>
        </w:rPr>
        <w:t xml:space="preserve">prejuízos à continuidade e qualidade da assistência prestada. </w:t>
      </w:r>
    </w:p>
    <w:p w14:paraId="1D611650">
      <w:pPr>
        <w:pStyle w:val="24"/>
        <w:spacing w:line="360" w:lineRule="auto"/>
        <w:jc w:val="both"/>
      </w:pPr>
      <w:r>
        <w:t>Diante desse cenário, torna-se imprescindível a aquisição de veículo adequado, que possibilite:</w:t>
      </w:r>
    </w:p>
    <w:p w14:paraId="30A1CC5C">
      <w:pPr>
        <w:numPr>
          <w:ilvl w:val="0"/>
          <w:numId w:val="7"/>
        </w:numPr>
        <w:spacing w:beforeAutospacing="1" w:afterAutospacing="1" w:line="360" w:lineRule="auto"/>
        <w:jc w:val="both"/>
        <w:rPr>
          <w:sz w:val="24"/>
          <w:szCs w:val="24"/>
        </w:rPr>
      </w:pPr>
      <w:r>
        <w:rPr>
          <w:sz w:val="24"/>
          <w:szCs w:val="24"/>
        </w:rPr>
        <w:t xml:space="preserve">o deslocamento seguro e eficiente da equipe; </w:t>
      </w:r>
    </w:p>
    <w:p w14:paraId="4A29C255">
      <w:pPr>
        <w:numPr>
          <w:ilvl w:val="0"/>
          <w:numId w:val="7"/>
        </w:numPr>
        <w:spacing w:beforeAutospacing="1" w:afterAutospacing="1" w:line="360" w:lineRule="auto"/>
        <w:jc w:val="both"/>
        <w:rPr>
          <w:sz w:val="24"/>
          <w:szCs w:val="24"/>
        </w:rPr>
      </w:pPr>
      <w:r>
        <w:rPr>
          <w:sz w:val="24"/>
          <w:szCs w:val="24"/>
        </w:rPr>
        <w:t xml:space="preserve">a ampliação da cobertura dos atendimentos domiciliares; </w:t>
      </w:r>
    </w:p>
    <w:p w14:paraId="3F1119B6">
      <w:pPr>
        <w:numPr>
          <w:ilvl w:val="0"/>
          <w:numId w:val="7"/>
        </w:numPr>
        <w:spacing w:beforeAutospacing="1" w:afterAutospacing="1" w:line="360" w:lineRule="auto"/>
        <w:jc w:val="both"/>
        <w:rPr>
          <w:sz w:val="24"/>
          <w:szCs w:val="24"/>
        </w:rPr>
      </w:pPr>
      <w:r>
        <w:rPr>
          <w:sz w:val="24"/>
          <w:szCs w:val="24"/>
        </w:rPr>
        <w:t xml:space="preserve">maior agilidade nas respostas às demandas assistenciais; </w:t>
      </w:r>
    </w:p>
    <w:p w14:paraId="0E142500">
      <w:pPr>
        <w:numPr>
          <w:ilvl w:val="0"/>
          <w:numId w:val="7"/>
        </w:numPr>
        <w:spacing w:beforeAutospacing="1" w:afterAutospacing="1" w:line="360" w:lineRule="auto"/>
        <w:jc w:val="both"/>
        <w:rPr>
          <w:sz w:val="24"/>
          <w:szCs w:val="24"/>
        </w:rPr>
      </w:pPr>
      <w:r>
        <w:rPr>
          <w:sz w:val="24"/>
          <w:szCs w:val="24"/>
        </w:rPr>
        <w:t xml:space="preserve">melhores condições de trabalho aos profissionais envolvidos; </w:t>
      </w:r>
    </w:p>
    <w:p w14:paraId="35DC2839">
      <w:pPr>
        <w:numPr>
          <w:ilvl w:val="0"/>
          <w:numId w:val="7"/>
        </w:numPr>
        <w:spacing w:beforeAutospacing="1" w:afterAutospacing="1" w:line="360" w:lineRule="auto"/>
        <w:jc w:val="both"/>
        <w:rPr>
          <w:sz w:val="24"/>
          <w:szCs w:val="24"/>
        </w:rPr>
      </w:pPr>
      <w:r>
        <w:rPr>
          <w:sz w:val="24"/>
          <w:szCs w:val="24"/>
        </w:rPr>
        <w:t xml:space="preserve">a garantia da integralidade e humanização do cuidado. </w:t>
      </w:r>
    </w:p>
    <w:p w14:paraId="59FFE786">
      <w:pPr>
        <w:pStyle w:val="24"/>
        <w:spacing w:line="360" w:lineRule="auto"/>
        <w:jc w:val="both"/>
      </w:pPr>
      <w:r>
        <w:t>A presente aquisição está alinhada às diretrizes do Sistema Único de Saúde (SUS), especialmente no que se refere à descentralização da assistência e à promoção do cuidado no território, contribuindo para a redução de internações hospitalares desnecessárias e para a melhoria da qualidade de vida dos pacientes atendidos.</w:t>
      </w:r>
    </w:p>
    <w:p w14:paraId="4961F132">
      <w:pPr>
        <w:pStyle w:val="24"/>
        <w:spacing w:line="360" w:lineRule="auto"/>
        <w:jc w:val="both"/>
      </w:pPr>
      <w:r>
        <w:t>Dessa forma, a aquisição do veículo configura-se como medida essencial para assegurar a continuidade, eficiência e qualidade dos serviços prestados pelo Serviço de Atendimento Domiciliar.</w:t>
      </w:r>
    </w:p>
    <w:p w14:paraId="4D6EEC1F">
      <w:pPr>
        <w:pStyle w:val="69"/>
        <w:rPr>
          <w:rFonts w:ascii="Times New Roman" w:hAnsi="Times New Roman" w:cs="Times New Roman"/>
          <w:color w:val="auto"/>
          <w:lang w:eastAsia="pt-BR"/>
        </w:rPr>
      </w:pPr>
      <w:r>
        <w:rPr>
          <w:rFonts w:ascii="Times New Roman" w:hAnsi="Times New Roman" w:eastAsia="Cambria Math" w:cs="Times New Roman"/>
          <w:b/>
          <w:color w:val="auto"/>
          <w:lang w:eastAsia="pt-BR"/>
        </w:rPr>
        <w:t xml:space="preserve">3 - </w:t>
      </w:r>
      <w:r>
        <w:rPr>
          <w:rFonts w:ascii="Times New Roman" w:hAnsi="Times New Roman" w:cs="Times New Roman"/>
          <w:b/>
          <w:bCs/>
          <w:color w:val="auto"/>
          <w:lang w:eastAsia="pt-BR"/>
        </w:rPr>
        <w:t xml:space="preserve">ESPECIFICAÇÕES E QUANTIDADE </w:t>
      </w:r>
    </w:p>
    <w:p w14:paraId="33653CC0">
      <w:pPr>
        <w:autoSpaceDE w:val="0"/>
        <w:autoSpaceDN w:val="0"/>
        <w:adjustRightInd w:val="0"/>
        <w:rPr>
          <w:sz w:val="24"/>
          <w:szCs w:val="24"/>
        </w:rPr>
      </w:pPr>
    </w:p>
    <w:p w14:paraId="4DD86345">
      <w:pPr>
        <w:spacing w:line="360" w:lineRule="auto"/>
        <w:jc w:val="both"/>
        <w:rPr>
          <w:sz w:val="24"/>
          <w:szCs w:val="24"/>
        </w:rPr>
      </w:pPr>
      <w:r>
        <w:rPr>
          <w:sz w:val="24"/>
          <w:szCs w:val="24"/>
        </w:rPr>
        <w:t>Considerando que os padrões de desempenho e qualidade dos itens objeto deste Termo de Referência pode ser objetivamente definidos pelo edital, por meio de especificações usuais de mercado, classificamos os referidos itens como ‘bens comuns’</w:t>
      </w:r>
    </w:p>
    <w:tbl>
      <w:tblPr>
        <w:tblStyle w:val="10"/>
        <w:tblW w:w="11341" w:type="dxa"/>
        <w:tblInd w:w="-1281" w:type="dxa"/>
        <w:tblLayout w:type="fixed"/>
        <w:tblCellMar>
          <w:top w:w="0" w:type="dxa"/>
          <w:left w:w="10" w:type="dxa"/>
          <w:bottom w:w="0" w:type="dxa"/>
          <w:right w:w="10" w:type="dxa"/>
        </w:tblCellMar>
      </w:tblPr>
      <w:tblGrid>
        <w:gridCol w:w="567"/>
        <w:gridCol w:w="6521"/>
        <w:gridCol w:w="992"/>
        <w:gridCol w:w="851"/>
        <w:gridCol w:w="1276"/>
        <w:gridCol w:w="1134"/>
      </w:tblGrid>
      <w:tr w14:paraId="77B78194">
        <w:tblPrEx>
          <w:tblCellMar>
            <w:top w:w="0" w:type="dxa"/>
            <w:left w:w="10" w:type="dxa"/>
            <w:bottom w:w="0" w:type="dxa"/>
            <w:right w:w="10" w:type="dxa"/>
          </w:tblCellMar>
        </w:tblPrEx>
        <w:trPr>
          <w:trHeight w:val="370"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1653FE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Item</w:t>
            </w:r>
          </w:p>
        </w:tc>
        <w:tc>
          <w:tcPr>
            <w:tcW w:w="652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450979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Descrição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2D3870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Qtde.</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7F08F85">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Catmat</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2BEAD4A">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Valor Unit.</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80AF72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Valor total</w:t>
            </w:r>
          </w:p>
        </w:tc>
      </w:tr>
      <w:tr w14:paraId="12062F61">
        <w:tblPrEx>
          <w:tblCellMar>
            <w:top w:w="0" w:type="dxa"/>
            <w:left w:w="10" w:type="dxa"/>
            <w:bottom w:w="0" w:type="dxa"/>
            <w:right w:w="10" w:type="dxa"/>
          </w:tblCellMar>
        </w:tblPrEx>
        <w:trPr>
          <w:trHeight w:val="376"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5F30DBD">
            <w:pPr>
              <w:jc w:val="center"/>
              <w:rPr>
                <w:rFonts w:eastAsia="SimSun"/>
                <w:kern w:val="3"/>
                <w:sz w:val="18"/>
                <w:szCs w:val="18"/>
                <w:lang w:eastAsia="hi-IN" w:bidi="hi-IN"/>
              </w:rPr>
            </w:pPr>
          </w:p>
          <w:p w14:paraId="6862F8FA">
            <w:pPr>
              <w:jc w:val="center"/>
              <w:rPr>
                <w:rFonts w:eastAsia="SimSun"/>
                <w:kern w:val="3"/>
                <w:sz w:val="18"/>
                <w:szCs w:val="18"/>
                <w:lang w:eastAsia="hi-IN" w:bidi="hi-IN"/>
              </w:rPr>
            </w:pPr>
          </w:p>
          <w:p w14:paraId="37F68F8C">
            <w:pPr>
              <w:jc w:val="center"/>
              <w:rPr>
                <w:rFonts w:eastAsia="SimSun"/>
                <w:kern w:val="3"/>
                <w:sz w:val="18"/>
                <w:szCs w:val="18"/>
                <w:lang w:eastAsia="hi-IN" w:bidi="hi-IN"/>
              </w:rPr>
            </w:pPr>
          </w:p>
          <w:p w14:paraId="08EDC9F3">
            <w:pPr>
              <w:jc w:val="center"/>
              <w:rPr>
                <w:rFonts w:eastAsia="SimSun"/>
                <w:kern w:val="3"/>
                <w:sz w:val="18"/>
                <w:szCs w:val="18"/>
                <w:lang w:eastAsia="hi-IN" w:bidi="hi-IN"/>
              </w:rPr>
            </w:pPr>
          </w:p>
          <w:p w14:paraId="25692BD2">
            <w:pPr>
              <w:jc w:val="center"/>
              <w:rPr>
                <w:rFonts w:eastAsia="SimSun"/>
                <w:kern w:val="3"/>
                <w:sz w:val="18"/>
                <w:szCs w:val="18"/>
                <w:lang w:eastAsia="hi-IN" w:bidi="hi-IN"/>
              </w:rPr>
            </w:pPr>
          </w:p>
          <w:p w14:paraId="4EC2E823">
            <w:pPr>
              <w:jc w:val="center"/>
              <w:rPr>
                <w:rFonts w:eastAsia="SimSun"/>
                <w:kern w:val="3"/>
                <w:sz w:val="18"/>
                <w:szCs w:val="18"/>
                <w:lang w:eastAsia="hi-IN" w:bidi="hi-IN"/>
              </w:rPr>
            </w:pPr>
          </w:p>
          <w:p w14:paraId="2650602E">
            <w:pPr>
              <w:jc w:val="center"/>
              <w:rPr>
                <w:rFonts w:eastAsia="SimSun"/>
                <w:kern w:val="3"/>
                <w:sz w:val="18"/>
                <w:szCs w:val="18"/>
                <w:lang w:eastAsia="hi-IN" w:bidi="hi-IN"/>
              </w:rPr>
            </w:pPr>
          </w:p>
          <w:p w14:paraId="748699E7">
            <w:pPr>
              <w:jc w:val="center"/>
              <w:rPr>
                <w:rFonts w:eastAsia="SimSun"/>
                <w:kern w:val="3"/>
                <w:sz w:val="18"/>
                <w:szCs w:val="18"/>
                <w:lang w:eastAsia="hi-IN" w:bidi="hi-IN"/>
              </w:rPr>
            </w:pPr>
          </w:p>
          <w:p w14:paraId="6ACB20E9">
            <w:pPr>
              <w:jc w:val="center"/>
              <w:rPr>
                <w:rFonts w:eastAsia="SimSun"/>
                <w:kern w:val="3"/>
                <w:sz w:val="18"/>
                <w:szCs w:val="18"/>
                <w:lang w:eastAsia="hi-IN" w:bidi="hi-IN"/>
              </w:rPr>
            </w:pPr>
          </w:p>
          <w:p w14:paraId="0DBA7D5D">
            <w:pPr>
              <w:jc w:val="center"/>
              <w:rPr>
                <w:rFonts w:eastAsia="SimSun"/>
                <w:kern w:val="3"/>
                <w:sz w:val="18"/>
                <w:szCs w:val="18"/>
                <w:lang w:eastAsia="hi-IN" w:bidi="hi-IN"/>
              </w:rPr>
            </w:pPr>
          </w:p>
          <w:p w14:paraId="46680FDB">
            <w:pPr>
              <w:jc w:val="center"/>
              <w:rPr>
                <w:rFonts w:eastAsia="SimSun"/>
                <w:kern w:val="3"/>
                <w:sz w:val="18"/>
                <w:szCs w:val="18"/>
                <w:lang w:eastAsia="hi-IN" w:bidi="hi-IN"/>
              </w:rPr>
            </w:pPr>
          </w:p>
          <w:p w14:paraId="213531CE">
            <w:pPr>
              <w:jc w:val="center"/>
              <w:rPr>
                <w:rFonts w:eastAsia="SimSun"/>
                <w:kern w:val="3"/>
                <w:sz w:val="18"/>
                <w:szCs w:val="18"/>
                <w:lang w:eastAsia="hi-IN" w:bidi="hi-IN"/>
              </w:rPr>
            </w:pPr>
          </w:p>
          <w:p w14:paraId="10C47F3C">
            <w:pPr>
              <w:jc w:val="center"/>
              <w:rPr>
                <w:rFonts w:eastAsia="SimSun"/>
                <w:kern w:val="3"/>
                <w:sz w:val="18"/>
                <w:szCs w:val="18"/>
                <w:lang w:eastAsia="hi-IN" w:bidi="hi-IN"/>
              </w:rPr>
            </w:pPr>
          </w:p>
          <w:p w14:paraId="5D51DAA4">
            <w:pPr>
              <w:jc w:val="center"/>
              <w:rPr>
                <w:rFonts w:eastAsia="SimSun"/>
                <w:kern w:val="3"/>
                <w:sz w:val="18"/>
                <w:szCs w:val="18"/>
                <w:lang w:eastAsia="hi-IN" w:bidi="hi-IN"/>
              </w:rPr>
            </w:pPr>
          </w:p>
          <w:p w14:paraId="283DA81C">
            <w:pPr>
              <w:jc w:val="center"/>
              <w:rPr>
                <w:rFonts w:eastAsia="SimSun"/>
                <w:kern w:val="3"/>
                <w:sz w:val="18"/>
                <w:szCs w:val="18"/>
                <w:lang w:eastAsia="hi-IN" w:bidi="hi-IN"/>
              </w:rPr>
            </w:pPr>
          </w:p>
          <w:p w14:paraId="60670E8A">
            <w:pPr>
              <w:jc w:val="center"/>
              <w:rPr>
                <w:rFonts w:eastAsia="SimSun"/>
                <w:kern w:val="3"/>
                <w:sz w:val="18"/>
                <w:szCs w:val="18"/>
                <w:lang w:eastAsia="hi-IN" w:bidi="hi-IN"/>
              </w:rPr>
            </w:pPr>
            <w:r>
              <w:rPr>
                <w:rFonts w:eastAsia="SimSun"/>
                <w:kern w:val="3"/>
                <w:sz w:val="18"/>
                <w:szCs w:val="18"/>
                <w:lang w:eastAsia="hi-IN" w:bidi="hi-IN"/>
              </w:rPr>
              <w:t>1</w:t>
            </w:r>
          </w:p>
        </w:tc>
        <w:tc>
          <w:tcPr>
            <w:tcW w:w="652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CA5B233">
            <w:pPr>
              <w:jc w:val="both"/>
              <w:rPr>
                <w:sz w:val="16"/>
                <w:szCs w:val="16"/>
              </w:rPr>
            </w:pPr>
            <w:r>
              <w:t xml:space="preserve">Veículo 0 (zero) km, com capacidade mínima de 05 (cinco) passageiros incluindo o motorista, ano modelo 2026, 04 (quatro) portas, na cor branca sólida no padrão de fábrica e de linha de produção, alarme antifurto, alto falantes dianteiros, apoio para cabeça dianteiro com regulagem de altura, ar-condicionado, câmbio manual com no mínimo 05 marchas, rádio AM/FM, travas elétricas, cinto de segurança dianteiro de 3 pontos, computador de bordo (com no mínimo informações do veículo, viagem e consumo), direção elétrica, estepe, motorização mínima 1,0 flex, dianteiro, com no mínimo 71CV (gasolina)/ 75CV (etanol), vidros elétricos no mínimo dianteiro, capacidade de porta malas de no mínimo 300 litros, distância mínima entre os eixos  de 2521MM, equipado com todos os acessórios exigidos pelo CONTRAN e legislações vigente: macaco, chave de rodas, triangulo etc. Todos os equipamentos devem ser de fábrica, tanto o veículo quanto demais acessórios devem apresentar garantia mínima de um ano a contar da entrega do mesmo. </w:t>
            </w:r>
          </w:p>
          <w:p w14:paraId="2BB24836">
            <w:pPr>
              <w:jc w:val="both"/>
              <w:rPr>
                <w:sz w:val="16"/>
                <w:szCs w:val="16"/>
                <w:lang w:eastAsia="hi-IN"/>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18918DB">
            <w:pPr>
              <w:jc w:val="center"/>
              <w:rPr>
                <w:sz w:val="24"/>
                <w:szCs w:val="24"/>
                <w:lang w:eastAsia="hi-IN"/>
              </w:rPr>
            </w:pPr>
          </w:p>
          <w:p w14:paraId="338B7036">
            <w:pPr>
              <w:jc w:val="center"/>
              <w:rPr>
                <w:sz w:val="24"/>
                <w:szCs w:val="24"/>
                <w:lang w:eastAsia="hi-IN"/>
              </w:rPr>
            </w:pPr>
          </w:p>
          <w:p w14:paraId="075C9BC4">
            <w:pPr>
              <w:jc w:val="center"/>
              <w:rPr>
                <w:sz w:val="24"/>
                <w:szCs w:val="24"/>
                <w:lang w:eastAsia="hi-IN"/>
              </w:rPr>
            </w:pPr>
          </w:p>
          <w:p w14:paraId="06D06102">
            <w:pPr>
              <w:jc w:val="center"/>
              <w:rPr>
                <w:sz w:val="24"/>
                <w:szCs w:val="24"/>
                <w:lang w:eastAsia="hi-IN"/>
              </w:rPr>
            </w:pPr>
          </w:p>
          <w:p w14:paraId="0326430D">
            <w:pPr>
              <w:jc w:val="center"/>
              <w:rPr>
                <w:sz w:val="24"/>
                <w:szCs w:val="24"/>
                <w:lang w:eastAsia="hi-IN"/>
              </w:rPr>
            </w:pPr>
          </w:p>
          <w:p w14:paraId="6DE6FB79">
            <w:pPr>
              <w:jc w:val="center"/>
              <w:rPr>
                <w:sz w:val="24"/>
                <w:szCs w:val="24"/>
                <w:lang w:eastAsia="hi-IN"/>
              </w:rPr>
            </w:pPr>
          </w:p>
          <w:p w14:paraId="514A422D">
            <w:pPr>
              <w:jc w:val="center"/>
              <w:rPr>
                <w:sz w:val="24"/>
                <w:szCs w:val="24"/>
                <w:lang w:eastAsia="hi-IN"/>
              </w:rPr>
            </w:pPr>
          </w:p>
          <w:p w14:paraId="28D99470">
            <w:pPr>
              <w:jc w:val="center"/>
              <w:rPr>
                <w:sz w:val="24"/>
                <w:szCs w:val="24"/>
                <w:lang w:eastAsia="hi-IN"/>
              </w:rPr>
            </w:pPr>
          </w:p>
          <w:p w14:paraId="3E20493B">
            <w:pPr>
              <w:jc w:val="center"/>
              <w:rPr>
                <w:sz w:val="24"/>
                <w:szCs w:val="24"/>
                <w:lang w:eastAsia="hi-IN"/>
              </w:rPr>
            </w:pPr>
          </w:p>
          <w:p w14:paraId="77A62D47">
            <w:pPr>
              <w:jc w:val="center"/>
              <w:rPr>
                <w:sz w:val="24"/>
                <w:szCs w:val="24"/>
                <w:lang w:eastAsia="hi-IN"/>
              </w:rPr>
            </w:pPr>
          </w:p>
          <w:p w14:paraId="3D23FC9F">
            <w:pPr>
              <w:jc w:val="center"/>
              <w:rPr>
                <w:sz w:val="24"/>
                <w:szCs w:val="24"/>
                <w:lang w:eastAsia="hi-IN"/>
              </w:rPr>
            </w:pPr>
            <w:r>
              <w:rPr>
                <w:sz w:val="24"/>
                <w:szCs w:val="24"/>
                <w:lang w:eastAsia="hi-IN"/>
              </w:rPr>
              <w:t>1</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89F351B">
            <w:pPr>
              <w:jc w:val="center"/>
              <w:textAlignment w:val="bottom"/>
              <w:rPr>
                <w:rFonts w:eastAsia="SimSun"/>
                <w:b/>
                <w:bCs/>
                <w:sz w:val="18"/>
                <w:szCs w:val="18"/>
                <w:lang w:eastAsia="zh-CN" w:bidi="ar"/>
              </w:rPr>
            </w:pPr>
            <w:r>
              <w:rPr>
                <w:rFonts w:eastAsia="SimSun"/>
                <w:sz w:val="18"/>
                <w:szCs w:val="18"/>
                <w:lang w:eastAsia="zh-CN" w:bidi="ar"/>
              </w:rPr>
              <w:t>628952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EC52260">
            <w:pPr>
              <w:jc w:val="center"/>
              <w:textAlignment w:val="bottom"/>
              <w:rPr>
                <w:rFonts w:eastAsia="SimSun"/>
                <w:sz w:val="18"/>
                <w:szCs w:val="18"/>
                <w:lang w:eastAsia="zh-CN" w:bidi="ar"/>
              </w:rPr>
            </w:pPr>
            <w:r>
              <w:rPr>
                <w:rFonts w:eastAsia="SimSun"/>
                <w:sz w:val="18"/>
                <w:szCs w:val="18"/>
                <w:lang w:eastAsia="zh-CN" w:bidi="ar"/>
              </w:rPr>
              <w:t>97.000,00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BC4A759">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7254DF8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3D0FB13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1E0EFC0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3FE758F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294D771E">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1BDF7CE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67C6D2C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5190EC9E">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3FD2387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7ECC5F7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0176D08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462A16A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57B4793C">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lang w:bidi="ar"/>
              </w:rPr>
            </w:pPr>
          </w:p>
          <w:p w14:paraId="419BD34E">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eastAsia="SimSun" w:cs="Times New Roman"/>
                <w:color w:val="auto"/>
                <w:sz w:val="18"/>
                <w:szCs w:val="18"/>
                <w:lang w:eastAsia="zh-CN" w:bidi="ar"/>
              </w:rPr>
              <w:t>97.000,00</w:t>
            </w:r>
          </w:p>
        </w:tc>
      </w:tr>
      <w:tr w14:paraId="7FA6E2F0">
        <w:tblPrEx>
          <w:tblCellMar>
            <w:top w:w="0" w:type="dxa"/>
            <w:left w:w="10" w:type="dxa"/>
            <w:bottom w:w="0" w:type="dxa"/>
            <w:right w:w="10" w:type="dxa"/>
          </w:tblCellMar>
        </w:tblPrEx>
        <w:trPr>
          <w:trHeight w:val="376" w:hRule="atLeast"/>
        </w:trPr>
        <w:tc>
          <w:tcPr>
            <w:tcW w:w="56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2546020">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p>
        </w:tc>
        <w:tc>
          <w:tcPr>
            <w:tcW w:w="652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9F874D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rPr>
                <w:rFonts w:cs="Times New Roman"/>
                <w:sz w:val="18"/>
                <w:szCs w:val="18"/>
              </w:rPr>
            </w:pPr>
            <w:r>
              <w:rPr>
                <w:rFonts w:ascii="Times New Roman" w:hAnsi="Times New Roman" w:cs="Times New Roman"/>
                <w:color w:val="auto"/>
                <w:sz w:val="18"/>
                <w:szCs w:val="18"/>
              </w:rPr>
              <w:t>TOTAL</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BA6D49C">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A375E95">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93441E9">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4D161EF">
            <w:pPr>
              <w:jc w:val="center"/>
              <w:textAlignment w:val="center"/>
              <w:rPr>
                <w:sz w:val="18"/>
                <w:szCs w:val="18"/>
              </w:rPr>
            </w:pPr>
            <w:r>
              <w:rPr>
                <w:rFonts w:eastAsia="SimSun"/>
                <w:sz w:val="18"/>
                <w:szCs w:val="18"/>
                <w:lang w:eastAsia="zh-CN" w:bidi="ar"/>
              </w:rPr>
              <w:t>97.000,00</w:t>
            </w:r>
          </w:p>
        </w:tc>
      </w:tr>
    </w:tbl>
    <w:p w14:paraId="405D1E94">
      <w:pPr>
        <w:rPr>
          <w:color w:val="C00000"/>
          <w:sz w:val="24"/>
          <w:szCs w:val="24"/>
        </w:rPr>
      </w:pPr>
    </w:p>
    <w:p w14:paraId="4F6AE450">
      <w:pPr>
        <w:jc w:val="both"/>
        <w:rPr>
          <w:rFonts w:eastAsia="Cambria Math"/>
          <w:b/>
          <w:color w:val="C00000"/>
        </w:rPr>
      </w:pPr>
    </w:p>
    <w:p w14:paraId="52C5B504">
      <w:pPr>
        <w:jc w:val="both"/>
        <w:rPr>
          <w:rFonts w:eastAsia="Cambria Math"/>
          <w:b/>
          <w:color w:val="C00000"/>
        </w:rPr>
      </w:pPr>
    </w:p>
    <w:p w14:paraId="05BE4022">
      <w:pPr>
        <w:jc w:val="both"/>
        <w:rPr>
          <w:rFonts w:eastAsia="Cambria Math"/>
          <w:b/>
          <w:color w:val="C00000"/>
        </w:rPr>
      </w:pPr>
    </w:p>
    <w:p w14:paraId="6EAF1E7B">
      <w:pPr>
        <w:jc w:val="both"/>
        <w:rPr>
          <w:rFonts w:eastAsia="Cambria Math"/>
          <w:b/>
          <w:color w:val="C00000"/>
        </w:rPr>
      </w:pPr>
    </w:p>
    <w:p w14:paraId="4F31557C">
      <w:pPr>
        <w:jc w:val="both"/>
        <w:rPr>
          <w:rFonts w:eastAsia="Cambria Math"/>
          <w:b/>
          <w:color w:val="C00000"/>
        </w:rPr>
      </w:pPr>
    </w:p>
    <w:p w14:paraId="32A9592E">
      <w:pPr>
        <w:jc w:val="both"/>
        <w:rPr>
          <w:rFonts w:eastAsia="Cambria Math"/>
          <w:b/>
          <w:sz w:val="24"/>
          <w:szCs w:val="24"/>
        </w:rPr>
      </w:pPr>
      <w:r>
        <w:rPr>
          <w:rFonts w:eastAsia="Cambria Math"/>
          <w:b/>
          <w:sz w:val="24"/>
          <w:szCs w:val="24"/>
          <w:lang w:val="en-US"/>
        </w:rPr>
        <w:t>4</w:t>
      </w:r>
      <w:r>
        <w:rPr>
          <w:rFonts w:eastAsia="Cambria Math"/>
          <w:b/>
          <w:sz w:val="24"/>
          <w:szCs w:val="24"/>
        </w:rPr>
        <w:t xml:space="preserve"> – JUSTIFICATIVA</w:t>
      </w:r>
    </w:p>
    <w:p w14:paraId="25CEF91A">
      <w:pPr>
        <w:jc w:val="both"/>
        <w:rPr>
          <w:rFonts w:ascii="Arial" w:hAnsi="Arial" w:eastAsia="Cambria Math" w:cs="Arial"/>
          <w:b/>
        </w:rPr>
      </w:pPr>
    </w:p>
    <w:p w14:paraId="1037278D">
      <w:pPr>
        <w:spacing w:line="360" w:lineRule="auto"/>
        <w:jc w:val="both"/>
        <w:rPr>
          <w:rFonts w:eastAsia="MontserratThin"/>
          <w:sz w:val="24"/>
          <w:szCs w:val="24"/>
          <w:lang w:val="en-US" w:eastAsia="zh-CN" w:bidi="ar"/>
        </w:rPr>
      </w:pPr>
      <w:r>
        <w:rPr>
          <w:rFonts w:eastAsia="MontserratThin"/>
          <w:sz w:val="24"/>
          <w:szCs w:val="24"/>
          <w:lang w:val="en-US" w:eastAsia="zh-CN" w:bidi="ar"/>
        </w:rPr>
        <w:t xml:space="preserve">A contratação de empresa especializada para a </w:t>
      </w:r>
      <w:r>
        <w:rPr>
          <w:rFonts w:eastAsia="MontserratThin"/>
          <w:sz w:val="24"/>
          <w:szCs w:val="24"/>
          <w:lang w:eastAsia="zh-CN" w:bidi="ar"/>
        </w:rPr>
        <w:t>a</w:t>
      </w:r>
      <w:r>
        <w:rPr>
          <w:rFonts w:eastAsia="Helvetica"/>
          <w:sz w:val="24"/>
          <w:szCs w:val="24"/>
          <w:shd w:val="clear" w:color="auto" w:fill="FFFFFF"/>
          <w:lang w:eastAsia="zh-CN" w:bidi="ar"/>
        </w:rPr>
        <w:t>quisição de</w:t>
      </w:r>
      <w:r>
        <w:rPr>
          <w:rFonts w:eastAsia="SimSun"/>
          <w:sz w:val="24"/>
          <w:szCs w:val="24"/>
        </w:rPr>
        <w:t xml:space="preserve"> veículo para transporte da equipe multiprofissional do Serviço de Atendimento Domiciliar.</w:t>
      </w:r>
      <w:r>
        <w:rPr>
          <w:sz w:val="24"/>
          <w:szCs w:val="24"/>
        </w:rPr>
        <w:t xml:space="preserve"> </w:t>
      </w:r>
    </w:p>
    <w:p w14:paraId="2EF4FC2E">
      <w:pPr>
        <w:spacing w:line="360" w:lineRule="auto"/>
        <w:jc w:val="both"/>
        <w:rPr>
          <w:rFonts w:eastAsia="SimSun"/>
          <w:sz w:val="24"/>
          <w:szCs w:val="24"/>
        </w:rPr>
      </w:pPr>
      <w:r>
        <w:rPr>
          <w:rFonts w:eastAsia="SimSun"/>
          <w:sz w:val="24"/>
          <w:szCs w:val="24"/>
        </w:rPr>
        <w:t xml:space="preserve">A solução especificada e que se pretende adquirir, refere-se à contratação, na modalidade Pregão Eletrônico . </w:t>
      </w:r>
    </w:p>
    <w:p w14:paraId="077B2DC8">
      <w:pPr>
        <w:spacing w:line="360" w:lineRule="auto"/>
        <w:jc w:val="both"/>
        <w:rPr>
          <w:sz w:val="24"/>
          <w:szCs w:val="24"/>
        </w:rPr>
      </w:pPr>
      <w:r>
        <w:rPr>
          <w:rFonts w:eastAsia="MontserratThin"/>
          <w:sz w:val="24"/>
          <w:szCs w:val="24"/>
          <w:lang w:val="en-US" w:eastAsia="zh-CN" w:bidi="ar"/>
        </w:rPr>
        <w:t xml:space="preserve">O Município enfrenta um problema crescente de animais soltos em vias </w:t>
      </w:r>
      <w:r>
        <w:rPr>
          <w:rFonts w:eastAsia="MontserratThin"/>
          <w:sz w:val="24"/>
          <w:szCs w:val="24"/>
          <w:lang w:eastAsia="zh-CN" w:bidi="ar"/>
        </w:rPr>
        <w:t xml:space="preserve"> </w:t>
      </w:r>
      <w:r>
        <w:rPr>
          <w:rFonts w:eastAsia="MontserratThin"/>
          <w:sz w:val="24"/>
          <w:szCs w:val="24"/>
          <w:lang w:val="en-US" w:eastAsia="zh-CN" w:bidi="ar"/>
        </w:rPr>
        <w:t>públicas, o que resulta em riscos à segurança pública e conflitos com animais.</w:t>
      </w:r>
    </w:p>
    <w:p w14:paraId="1B98068F">
      <w:pPr>
        <w:spacing w:line="360" w:lineRule="auto"/>
        <w:jc w:val="both"/>
        <w:rPr>
          <w:sz w:val="24"/>
          <w:szCs w:val="24"/>
        </w:rPr>
      </w:pPr>
      <w:r>
        <w:rPr>
          <w:rFonts w:eastAsia="MontserratThin"/>
          <w:sz w:val="24"/>
          <w:szCs w:val="24"/>
          <w:lang w:val="en-US" w:eastAsia="zh-CN" w:bidi="ar"/>
        </w:rPr>
        <w:t xml:space="preserve">Portanto, a necessidade de contratação busca </w:t>
      </w:r>
      <w:r>
        <w:rPr>
          <w:rFonts w:eastAsia="MontserratThin"/>
          <w:sz w:val="24"/>
          <w:szCs w:val="24"/>
          <w:lang w:eastAsia="zh-CN" w:bidi="ar"/>
        </w:rPr>
        <w:t>diminuir os</w:t>
      </w:r>
      <w:r>
        <w:rPr>
          <w:rFonts w:eastAsia="MontserratThin"/>
          <w:sz w:val="24"/>
          <w:szCs w:val="24"/>
          <w:lang w:val="en-US" w:eastAsia="zh-CN" w:bidi="ar"/>
        </w:rPr>
        <w:t xml:space="preserve"> problemas de segurança pública, atender aos anseios da comunidade por um ambiente urbano organizado e seguro</w:t>
      </w:r>
      <w:r>
        <w:rPr>
          <w:rFonts w:eastAsia="MontserratThin"/>
          <w:sz w:val="24"/>
          <w:szCs w:val="24"/>
          <w:lang w:eastAsia="zh-CN" w:bidi="ar"/>
        </w:rPr>
        <w:t>,</w:t>
      </w:r>
      <w:r>
        <w:rPr>
          <w:rFonts w:eastAsia="MontserratThin"/>
          <w:sz w:val="24"/>
          <w:szCs w:val="24"/>
          <w:lang w:val="en-US" w:eastAsia="zh-CN" w:bidi="ar"/>
        </w:rPr>
        <w:t xml:space="preserve"> e assegurar o respeito às diretrizes de proteção animal</w:t>
      </w:r>
      <w:r>
        <w:rPr>
          <w:rFonts w:eastAsia="MontserratThin"/>
          <w:sz w:val="24"/>
          <w:szCs w:val="24"/>
          <w:lang w:eastAsia="zh-CN" w:bidi="ar"/>
        </w:rPr>
        <w:t>,</w:t>
      </w:r>
      <w:r>
        <w:rPr>
          <w:rFonts w:eastAsia="MontserratThin"/>
          <w:sz w:val="24"/>
          <w:szCs w:val="24"/>
          <w:lang w:val="en-US" w:eastAsia="zh-CN" w:bidi="ar"/>
        </w:rPr>
        <w:t xml:space="preserve">  promovendo um ambiente mais seguro e harmonioso.</w:t>
      </w:r>
    </w:p>
    <w:p w14:paraId="32405891">
      <w:pPr>
        <w:pStyle w:val="274"/>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 xml:space="preserve">5 - </w:t>
      </w:r>
      <w:r>
        <w:rPr>
          <w:rFonts w:ascii="Times New Roman" w:hAnsi="Times New Roman" w:eastAsia="Times New Roman" w:cs="Times New Roman"/>
          <w:b/>
          <w:sz w:val="24"/>
          <w:szCs w:val="24"/>
        </w:rPr>
        <w:t xml:space="preserve">REQUISITOS DA CONTRATAÇÃO  </w:t>
      </w:r>
    </w:p>
    <w:p w14:paraId="69928A7D">
      <w:pPr>
        <w:pStyle w:val="69"/>
        <w:spacing w:line="360" w:lineRule="auto"/>
        <w:jc w:val="both"/>
        <w:rPr>
          <w:rFonts w:ascii="Times New Roman" w:hAnsi="Times New Roman" w:cs="Times New Roman"/>
          <w:color w:val="auto"/>
        </w:rPr>
      </w:pPr>
      <w:r>
        <w:rPr>
          <w:rFonts w:ascii="Times New Roman" w:hAnsi="Times New Roman" w:cs="Times New Roman"/>
          <w:color w:val="auto"/>
        </w:rPr>
        <w:t>O contratado deve realizar o fornecimento do veículo de acordo com a solicitação do Setor Demandante, e conforme condições, quantidades, exigências e estimativa  estabelecidas no Termo de Referência;</w:t>
      </w:r>
    </w:p>
    <w:p w14:paraId="35D7D91E">
      <w:pPr>
        <w:pStyle w:val="69"/>
        <w:spacing w:line="360" w:lineRule="auto"/>
        <w:jc w:val="both"/>
        <w:rPr>
          <w:rFonts w:ascii="Times New Roman" w:hAnsi="Times New Roman" w:cs="Times New Roman"/>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r>
        <w:rPr>
          <w:rFonts w:cs="Times New Roman"/>
          <w:color w:val="auto"/>
        </w:rPr>
        <w:t>;</w:t>
      </w:r>
    </w:p>
    <w:p w14:paraId="34B12978">
      <w:pPr>
        <w:pStyle w:val="69"/>
        <w:spacing w:line="360" w:lineRule="auto"/>
        <w:jc w:val="both"/>
        <w:rPr>
          <w:rFonts w:ascii="Times New Roman" w:hAnsi="Times New Roman" w:cs="Times New Roman"/>
          <w:color w:val="auto"/>
        </w:rPr>
      </w:pPr>
      <w:r>
        <w:rPr>
          <w:rFonts w:ascii="Times New Roman" w:hAnsi="Times New Roman" w:cs="Times New Roman"/>
          <w:color w:val="auto"/>
        </w:rPr>
        <w:t>O contratado deverá prestar todos os esclarecimentos técnicos que lhe forem solicitados, relacionados com as características do veículo</w:t>
      </w:r>
      <w:r>
        <w:rPr>
          <w:rFonts w:cs="Times New Roman"/>
          <w:color w:val="auto"/>
        </w:rPr>
        <w:t>;</w:t>
      </w:r>
      <w:r>
        <w:rPr>
          <w:rFonts w:ascii="Times New Roman" w:hAnsi="Times New Roman" w:cs="Times New Roman"/>
          <w:color w:val="auto"/>
        </w:rPr>
        <w:t xml:space="preserve"> </w:t>
      </w:r>
    </w:p>
    <w:p w14:paraId="0B90A4B5">
      <w:pPr>
        <w:pStyle w:val="69"/>
        <w:spacing w:line="360" w:lineRule="auto"/>
        <w:jc w:val="both"/>
        <w:rPr>
          <w:rFonts w:ascii="Times New Roman" w:hAnsi="Times New Roman" w:cs="Times New Roman"/>
          <w:color w:val="auto"/>
        </w:rPr>
      </w:pPr>
      <w:r>
        <w:rPr>
          <w:rFonts w:ascii="Times New Roman" w:hAnsi="Times New Roman" w:cs="Times New Roman"/>
          <w:color w:val="auto"/>
        </w:rPr>
        <w:t>O contratado deverá arcar com todas as despesas, diretas ou indiretas, sem qualquer ônus para a municipalidade</w:t>
      </w:r>
      <w:r>
        <w:rPr>
          <w:rFonts w:cs="Times New Roman"/>
          <w:color w:val="auto"/>
        </w:rPr>
        <w:t>;</w:t>
      </w:r>
    </w:p>
    <w:p w14:paraId="470B6B80">
      <w:pPr>
        <w:spacing w:line="360" w:lineRule="auto"/>
        <w:jc w:val="both"/>
        <w:rPr>
          <w:rFonts w:eastAsia="SimSun"/>
          <w:sz w:val="24"/>
          <w:szCs w:val="24"/>
        </w:rPr>
      </w:pPr>
      <w:r>
        <w:rPr>
          <w:rFonts w:eastAsia="SimSun"/>
          <w:sz w:val="24"/>
          <w:szCs w:val="24"/>
        </w:rPr>
        <w:t xml:space="preserve">O contratado deverá assegurar a qualidade e garantia </w:t>
      </w:r>
      <w:r>
        <w:rPr>
          <w:sz w:val="24"/>
          <w:szCs w:val="24"/>
        </w:rPr>
        <w:t xml:space="preserve">do veículo </w:t>
      </w:r>
      <w:r>
        <w:rPr>
          <w:rFonts w:eastAsia="SimSun"/>
          <w:sz w:val="24"/>
          <w:szCs w:val="24"/>
        </w:rPr>
        <w:t xml:space="preserve">entregue em conformidade com o termo de referencia e Estudo Técnico Preliminar </w:t>
      </w:r>
    </w:p>
    <w:p w14:paraId="1C27ECBD">
      <w:pPr>
        <w:spacing w:line="360" w:lineRule="auto"/>
        <w:jc w:val="both"/>
        <w:rPr>
          <w:rFonts w:eastAsia="SimSun"/>
          <w:sz w:val="24"/>
          <w:szCs w:val="24"/>
        </w:rPr>
      </w:pPr>
      <w:r>
        <w:rPr>
          <w:rFonts w:eastAsia="SimSun"/>
          <w:sz w:val="24"/>
          <w:szCs w:val="24"/>
        </w:rPr>
        <w:t xml:space="preserve">O contratado deverá reparar, corrigir, reconstruir ou substituir, imediatamente, às suas expensas, no total ou em parte, o objeto em que se verificarem vícios, defeitos ou incorreções resultantes </w:t>
      </w:r>
      <w:r>
        <w:rPr>
          <w:sz w:val="24"/>
          <w:szCs w:val="24"/>
        </w:rPr>
        <w:t xml:space="preserve">do veículo </w:t>
      </w:r>
      <w:r>
        <w:rPr>
          <w:rFonts w:eastAsia="SimSun"/>
          <w:sz w:val="24"/>
          <w:szCs w:val="24"/>
        </w:rPr>
        <w:t xml:space="preserve">entregue, independentemente das penalidades aplicáveis ou cabíveis; </w:t>
      </w:r>
    </w:p>
    <w:p w14:paraId="42B1BCF7">
      <w:pPr>
        <w:spacing w:line="360" w:lineRule="auto"/>
        <w:jc w:val="both"/>
        <w:rPr>
          <w:rFonts w:eastAsia="SimSun"/>
          <w:sz w:val="24"/>
          <w:szCs w:val="24"/>
        </w:rPr>
      </w:pPr>
      <w:r>
        <w:rPr>
          <w:rFonts w:eastAsia="SimSun"/>
          <w:sz w:val="24"/>
          <w:szCs w:val="24"/>
        </w:rPr>
        <w:t xml:space="preserve">O contratado deverá permitir e facilitar à fiscalização ou supervisão da Secretaria Municipal de Saúde, devendo prestar todas as informações e esclarecimentos solicitados; </w:t>
      </w:r>
    </w:p>
    <w:p w14:paraId="37AB3350">
      <w:pPr>
        <w:spacing w:line="360" w:lineRule="auto"/>
        <w:jc w:val="both"/>
        <w:rPr>
          <w:rFonts w:eastAsia="SimSun"/>
          <w:sz w:val="24"/>
          <w:szCs w:val="24"/>
        </w:rPr>
      </w:pPr>
      <w:r>
        <w:rPr>
          <w:rFonts w:eastAsia="SimSun"/>
          <w:sz w:val="24"/>
          <w:szCs w:val="24"/>
        </w:rPr>
        <w:t xml:space="preserve">O contratado deverá informar à fiscalização ou supervisão da Secretaria Municipal de Saúde, a ocorrência de qualquer fato ou condição que possa atrasar ou impedir a entrega </w:t>
      </w:r>
      <w:r>
        <w:rPr>
          <w:sz w:val="24"/>
          <w:szCs w:val="24"/>
        </w:rPr>
        <w:t>do veículo</w:t>
      </w:r>
      <w:r>
        <w:rPr>
          <w:rFonts w:eastAsia="SimSun"/>
          <w:sz w:val="24"/>
          <w:szCs w:val="24"/>
        </w:rPr>
        <w:t xml:space="preserve">, no todo ou em parte, indicando as medidas para corrigir a situação; </w:t>
      </w:r>
    </w:p>
    <w:p w14:paraId="3DDC46E6">
      <w:pPr>
        <w:spacing w:line="360" w:lineRule="auto"/>
        <w:jc w:val="both"/>
        <w:rPr>
          <w:rFonts w:eastAsia="SimSun"/>
          <w:sz w:val="24"/>
          <w:szCs w:val="24"/>
        </w:rPr>
      </w:pPr>
      <w:r>
        <w:rPr>
          <w:rFonts w:eastAsia="SimSun"/>
          <w:sz w:val="24"/>
          <w:szCs w:val="24"/>
        </w:rPr>
        <w:t xml:space="preserve">O contratado deverá responsabilizar-se pelos danos causados diretamente ao Município de Valença ou a terceiros decorrentes de sua culpa ou dolo, referente ao material solicitado, não excluindo ou reduzindo essa responsabilidade à fiscalização ou ao acompanhamento pela Secretaria Municipal de Saúde; </w:t>
      </w:r>
    </w:p>
    <w:p w14:paraId="4698C04B">
      <w:pPr>
        <w:spacing w:line="360" w:lineRule="auto"/>
        <w:jc w:val="both"/>
        <w:rPr>
          <w:rFonts w:eastAsia="SimSun"/>
          <w:sz w:val="24"/>
          <w:szCs w:val="24"/>
        </w:rPr>
      </w:pPr>
      <w:r>
        <w:rPr>
          <w:rFonts w:eastAsia="SimSun"/>
          <w:sz w:val="24"/>
          <w:szCs w:val="24"/>
        </w:rPr>
        <w:t xml:space="preserve">O contratado deverá cumprir, dentro dos prazos estabelecidos, as obrigações assumidas; </w:t>
      </w:r>
    </w:p>
    <w:p w14:paraId="6D15D5CF">
      <w:pPr>
        <w:spacing w:line="360" w:lineRule="auto"/>
        <w:jc w:val="both"/>
        <w:rPr>
          <w:rFonts w:eastAsia="SimSun"/>
          <w:sz w:val="24"/>
          <w:szCs w:val="24"/>
        </w:rPr>
      </w:pPr>
      <w:r>
        <w:rPr>
          <w:rFonts w:eastAsia="SimSun"/>
          <w:sz w:val="24"/>
          <w:szCs w:val="24"/>
        </w:rPr>
        <w:t>O contratado deverá manter durante a vigência do contrato em compatibilidade com as obrigações assumidas todas de habilitação exigidas na licitação;</w:t>
      </w:r>
    </w:p>
    <w:p w14:paraId="79B85ADC">
      <w:pPr>
        <w:spacing w:line="360" w:lineRule="auto"/>
        <w:jc w:val="both"/>
        <w:rPr>
          <w:rFonts w:eastAsia="SimSun"/>
          <w:sz w:val="24"/>
          <w:szCs w:val="24"/>
        </w:rPr>
      </w:pPr>
      <w:r>
        <w:rPr>
          <w:rFonts w:eastAsia="SimSun"/>
          <w:sz w:val="24"/>
          <w:szCs w:val="24"/>
        </w:rPr>
        <w:t xml:space="preserve">O contratado deverá garantir que </w:t>
      </w:r>
      <w:r>
        <w:rPr>
          <w:sz w:val="24"/>
          <w:szCs w:val="24"/>
        </w:rPr>
        <w:t xml:space="preserve">o veículo </w:t>
      </w:r>
      <w:r>
        <w:rPr>
          <w:rFonts w:eastAsia="SimSun"/>
          <w:sz w:val="24"/>
          <w:szCs w:val="24"/>
        </w:rPr>
        <w:t xml:space="preserve">seja de primeira linha e apresente características de qualidade, resistência, durabilidade, desempenho de uso e de aspecto, suficientes e capazes de atender integralmente as demandas e solicitações de uso funcional corrente, respeitando as especificações  do fabricante; </w:t>
      </w:r>
    </w:p>
    <w:p w14:paraId="3082A315">
      <w:pPr>
        <w:spacing w:line="360" w:lineRule="auto"/>
        <w:jc w:val="both"/>
        <w:rPr>
          <w:rFonts w:eastAsia="SimSun"/>
          <w:sz w:val="24"/>
          <w:szCs w:val="24"/>
        </w:rPr>
      </w:pPr>
      <w:r>
        <w:rPr>
          <w:rFonts w:eastAsia="SimSun"/>
          <w:sz w:val="24"/>
          <w:szCs w:val="24"/>
        </w:rPr>
        <w:t xml:space="preserve">O contratado deverá garantir que </w:t>
      </w:r>
      <w:r>
        <w:rPr>
          <w:sz w:val="24"/>
          <w:szCs w:val="24"/>
        </w:rPr>
        <w:t>do veículo</w:t>
      </w:r>
      <w:r>
        <w:rPr>
          <w:rFonts w:eastAsia="SimSun"/>
          <w:sz w:val="24"/>
          <w:szCs w:val="24"/>
        </w:rPr>
        <w:t xml:space="preserve"> a ser entregue seja  isento de quaisquer defeitos ou alteração que os modifique em relação às especificações normativas originais de fabricante, independentemente das razões que as produziram. </w:t>
      </w:r>
    </w:p>
    <w:p w14:paraId="1EB72B88">
      <w:pPr>
        <w:spacing w:line="360" w:lineRule="auto"/>
        <w:jc w:val="both"/>
        <w:rPr>
          <w:rFonts w:eastAsia="SimSun"/>
          <w:sz w:val="24"/>
          <w:szCs w:val="24"/>
        </w:rPr>
      </w:pPr>
      <w:r>
        <w:rPr>
          <w:rFonts w:eastAsia="SimSun"/>
          <w:sz w:val="24"/>
          <w:szCs w:val="24"/>
        </w:rPr>
        <w:t xml:space="preserve">O contratado deverá se responsabilizar pela entrega  solicitada pelo Município no prazo e condições estabelecidas na ordem de compra. </w:t>
      </w:r>
    </w:p>
    <w:p w14:paraId="740DBE25">
      <w:pPr>
        <w:spacing w:line="360" w:lineRule="auto"/>
        <w:jc w:val="both"/>
        <w:rPr>
          <w:rFonts w:eastAsia="SimSun"/>
          <w:b/>
          <w:sz w:val="24"/>
          <w:szCs w:val="24"/>
          <w:lang w:eastAsia="zh-CN" w:bidi="ar"/>
        </w:rPr>
      </w:pPr>
      <w:r>
        <w:rPr>
          <w:rFonts w:eastAsia="Cambria Math"/>
          <w:b/>
          <w:sz w:val="22"/>
          <w:szCs w:val="22"/>
          <w:lang w:val="en-US"/>
        </w:rPr>
        <w:t>6</w:t>
      </w:r>
      <w:r>
        <w:rPr>
          <w:rFonts w:eastAsia="Cambria Math"/>
          <w:b/>
          <w:sz w:val="22"/>
          <w:szCs w:val="22"/>
        </w:rPr>
        <w:t xml:space="preserve"> - </w:t>
      </w:r>
      <w:r>
        <w:rPr>
          <w:rFonts w:eastAsia="Cambria Math"/>
          <w:b/>
          <w:sz w:val="22"/>
          <w:szCs w:val="22"/>
          <w:lang w:val="en-US"/>
        </w:rPr>
        <w:t>DA</w:t>
      </w:r>
      <w:r>
        <w:rPr>
          <w:rFonts w:eastAsia="SimSun"/>
          <w:b/>
          <w:sz w:val="24"/>
          <w:szCs w:val="24"/>
          <w:lang w:eastAsia="zh-CN" w:bidi="ar"/>
        </w:rPr>
        <w:t xml:space="preserve"> SUBCONTRATAÇÃO</w:t>
      </w:r>
    </w:p>
    <w:p w14:paraId="4E44850E">
      <w:pPr>
        <w:pStyle w:val="24"/>
        <w:spacing w:line="360" w:lineRule="auto"/>
        <w:jc w:val="both"/>
      </w:pPr>
      <w:r>
        <w:rPr>
          <w:rStyle w:val="11"/>
          <w:b w:val="0"/>
        </w:rPr>
        <w:t>Não será permitida a subcontratação total ou parcial do objeto contratado</w:t>
      </w:r>
      <w:r>
        <w:t>, não sendo possível à contratada transferir a terceiros qualquer parcela das obrigações assumidas.</w:t>
      </w:r>
    </w:p>
    <w:p w14:paraId="35B14E6A">
      <w:pPr>
        <w:pStyle w:val="24"/>
        <w:spacing w:line="360" w:lineRule="auto"/>
        <w:jc w:val="both"/>
      </w:pPr>
      <w:r>
        <w:t xml:space="preserve">O descumprimento desta cláusula acarretará sanções previstas na legislação aplicável e poderá ensejar </w:t>
      </w:r>
      <w:r>
        <w:rPr>
          <w:rStyle w:val="11"/>
          <w:b w:val="0"/>
        </w:rPr>
        <w:t>rescisão contratual imediata</w:t>
      </w:r>
      <w:r>
        <w:t>, sem prejuízo das demais penalidades cabíveis e da responsabilidade por perdas e danos.</w:t>
      </w:r>
    </w:p>
    <w:p w14:paraId="6E1A1AA9">
      <w:pPr>
        <w:jc w:val="both"/>
        <w:rPr>
          <w:rFonts w:eastAsia="Cambria Math"/>
          <w:b/>
        </w:rPr>
      </w:pPr>
      <w:r>
        <w:rPr>
          <w:rFonts w:eastAsia="SimSun"/>
          <w:color w:val="C00000"/>
          <w:sz w:val="24"/>
          <w:szCs w:val="24"/>
        </w:rPr>
        <w:t xml:space="preserve"> </w:t>
      </w:r>
      <w:r>
        <w:rPr>
          <w:rFonts w:eastAsia="SimSun"/>
          <w:sz w:val="24"/>
          <w:szCs w:val="24"/>
        </w:rPr>
        <w:t>7</w:t>
      </w:r>
      <w:r>
        <w:rPr>
          <w:rFonts w:eastAsia="Cambria Math"/>
          <w:b/>
        </w:rPr>
        <w:t xml:space="preserve"> - RECEBIMENTO E CRITÉRIO DE ACEITAÇÃO</w:t>
      </w:r>
    </w:p>
    <w:p w14:paraId="7A7DC3A5">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licitante deve proporcionar entrega do veículo, conforme condições, quantidades, exigências e estimativas a serem estabelecidas neste instrumento e também estabelecidas no Termo de Referência. </w:t>
      </w:r>
    </w:p>
    <w:p w14:paraId="45C793B1">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assumir a responsabilidade por todas as providências e obrigações estabelecidas na legislação específica sobre a qualidade e especificação dos medicamentos que serão entregues. </w:t>
      </w:r>
    </w:p>
    <w:p w14:paraId="1479C5CB">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fornecer diretamente o objeto, não podendo transferir a responsabilidade pelo objeto demandado para nenhuma outra empresa ou instituição de qualquer natureza. </w:t>
      </w:r>
    </w:p>
    <w:p w14:paraId="1EA5C415">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fornecer o veículo de acordo com as normas vigentes, de boa qualidade e de excelente aceitação no mercado.  O veículo deverá possuir garantia contra não conformidades de fabricação, a contar do recebimento definitivo dos mesmos, sendo esta garantia de sua total responsabilidade, inclusive os custos no que tange o transporte da CONTRATANTE à CONTRATADA e seu devido retorno a CONTRATANTE. </w:t>
      </w:r>
    </w:p>
    <w:p w14:paraId="58600A1B">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prestar todos os esclarecimentos técnicos que lhe forem solicitados, relacionados com as características do veículo fornecido. </w:t>
      </w:r>
    </w:p>
    <w:p w14:paraId="77709BA7">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decorrentes da entrega do veículo, sem qualquer ônus para a municipalidade. </w:t>
      </w:r>
    </w:p>
    <w:p w14:paraId="36103A73">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repetir procedimentos às suas próprias custas para correção de falhas verificadas, principalmente na hipótese de aquisição do objeto em desacordo com as condições pactuadas. </w:t>
      </w:r>
    </w:p>
    <w:p w14:paraId="279F0D18">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Os riscos de impactos ocasionados devido a produção nas indústrias, as empresas deverão atentar para as práticas de mitigação dos impactos na produção, em como as lei e Resoluções que orientam a produção sustentável dessas atividades. </w:t>
      </w:r>
    </w:p>
    <w:p w14:paraId="1BC617DB">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A aquisição deve considerar as consequências ambientais, sociais e econômicos de: projeto; uso de materiais não renováveis; fabricação e métodos de produção, logística, prestação de serviços; uso, operação, manutenção, reutilização; opções de reciclagem; disposição, e as capacidades dos fornecedores para resolver essas consequências em toda a cadeia de abastecimento. </w:t>
      </w:r>
    </w:p>
    <w:p w14:paraId="198DE0A3">
      <w:pPr>
        <w:spacing w:line="360" w:lineRule="auto"/>
        <w:jc w:val="both"/>
        <w:rPr>
          <w:rFonts w:eastAsia="SimSun"/>
          <w:sz w:val="24"/>
          <w:szCs w:val="24"/>
        </w:rPr>
      </w:pPr>
      <w:r>
        <w:rPr>
          <w:rFonts w:eastAsia="SimSun"/>
          <w:sz w:val="24"/>
          <w:szCs w:val="24"/>
        </w:rPr>
        <w:t>O local de entrega e o horário serão devidamente informados no momento do envio do Contrato e da Nota de Empenho.</w:t>
      </w:r>
    </w:p>
    <w:p w14:paraId="72EF89E7">
      <w:pPr>
        <w:jc w:val="both"/>
        <w:rPr>
          <w:rFonts w:eastAsia="Cambria Math"/>
          <w:b/>
          <w:lang w:val="en-US"/>
        </w:rPr>
      </w:pPr>
      <w:r>
        <w:rPr>
          <w:rFonts w:eastAsia="Cambria Math"/>
          <w:b/>
          <w:lang w:val="en-US"/>
        </w:rPr>
        <w:t>8</w:t>
      </w:r>
      <w:r>
        <w:rPr>
          <w:rFonts w:eastAsia="Cambria Math"/>
          <w:b/>
        </w:rPr>
        <w:t xml:space="preserve"> - OBRIGAÇÕES DA </w:t>
      </w:r>
      <w:r>
        <w:rPr>
          <w:rFonts w:eastAsia="Cambria Math"/>
          <w:b/>
          <w:lang w:val="en-US"/>
        </w:rPr>
        <w:t>CONTRATADA</w:t>
      </w:r>
    </w:p>
    <w:p w14:paraId="6A8A6810"/>
    <w:p w14:paraId="5AC72579">
      <w:pPr>
        <w:pStyle w:val="69"/>
        <w:spacing w:after="160" w:line="360" w:lineRule="auto"/>
        <w:jc w:val="both"/>
        <w:rPr>
          <w:rFonts w:ascii="Times New Roman" w:hAnsi="Times New Roman" w:cs="Times New Roman"/>
          <w:color w:val="auto"/>
        </w:rPr>
      </w:pPr>
      <w:r>
        <w:rPr>
          <w:rFonts w:ascii="Times New Roman" w:hAnsi="Times New Roman" w:cs="Times New Roman"/>
          <w:color w:val="auto"/>
        </w:rPr>
        <w:t xml:space="preserve">A Contratada deve cumprir todas as obrigações e executar objeto nas condições previstas, seus anexos e sua proposta, assumindo como exclusivamente seus riscos e as despesas decorrentes da boa e perfeita execução do objeto e, ainda: </w:t>
      </w:r>
    </w:p>
    <w:p w14:paraId="24F56FDF">
      <w:pPr>
        <w:pStyle w:val="69"/>
        <w:spacing w:line="360" w:lineRule="auto"/>
        <w:jc w:val="both"/>
        <w:rPr>
          <w:rFonts w:ascii="Times New Roman" w:hAnsi="Times New Roman" w:cs="Times New Roman"/>
          <w:color w:val="auto"/>
        </w:rPr>
      </w:pPr>
      <w:r>
        <w:rPr>
          <w:rFonts w:ascii="Times New Roman" w:hAnsi="Times New Roman" w:cs="Times New Roman"/>
          <w:color w:val="auto"/>
        </w:rPr>
        <w:t>Executar o serviço contratado, conforme especificações, prazo e local constantes no Termo de Referência, acompanhado da  respectiva nota fiscal;</w:t>
      </w:r>
    </w:p>
    <w:p w14:paraId="76D17A7A">
      <w:pPr>
        <w:pStyle w:val="69"/>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5D548A90">
      <w:pPr>
        <w:pStyle w:val="69"/>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danos causados diretamente à Administração ou a terceiros, decorrentes de sua culpa ou dolo na execução do contrato, não excluindo ou reduzindo essa responsabilidade à fiscalização ou o acompanhamento; </w:t>
      </w:r>
    </w:p>
    <w:p w14:paraId="0F54940D">
      <w:pPr>
        <w:pStyle w:val="69"/>
        <w:spacing w:after="157" w:line="360" w:lineRule="auto"/>
        <w:jc w:val="both"/>
        <w:rPr>
          <w:rFonts w:ascii="Times New Roman" w:hAnsi="Times New Roman" w:cs="Times New Roman"/>
          <w:color w:val="auto"/>
        </w:rPr>
      </w:pPr>
      <w:r>
        <w:rPr>
          <w:rFonts w:ascii="Times New Roman" w:hAnsi="Times New Roman" w:cs="Times New Roman"/>
          <w:color w:val="auto"/>
        </w:rPr>
        <w:t xml:space="preserve">Manter durante toda a execução do contrato, todas as condições de habilitação e qualificação exigidas para a licitação; </w:t>
      </w:r>
    </w:p>
    <w:p w14:paraId="3AC0731E">
      <w:pPr>
        <w:pStyle w:val="69"/>
        <w:spacing w:line="360" w:lineRule="auto"/>
        <w:jc w:val="both"/>
        <w:rPr>
          <w:rFonts w:ascii="Times New Roman" w:hAnsi="Times New Roman" w:cs="Times New Roman"/>
          <w:color w:val="auto"/>
        </w:rPr>
      </w:pPr>
      <w:r>
        <w:rPr>
          <w:rFonts w:ascii="Times New Roman" w:hAnsi="Times New Roman" w:cs="Times New Roman"/>
          <w:color w:val="auto"/>
        </w:rPr>
        <w:t>Responder pelos encargos trabalhistas, previdenciários, fiscais e comerciais resultantes da execução da prestação de serviço.</w:t>
      </w:r>
    </w:p>
    <w:p w14:paraId="040D08D0">
      <w:pPr>
        <w:pStyle w:val="69"/>
        <w:spacing w:line="360" w:lineRule="auto"/>
        <w:jc w:val="both"/>
        <w:rPr>
          <w:rFonts w:ascii="Times New Roman" w:hAnsi="Times New Roman" w:cs="Times New Roman"/>
          <w:color w:val="auto"/>
        </w:rPr>
      </w:pPr>
    </w:p>
    <w:p w14:paraId="0317CEE9">
      <w:pPr>
        <w:jc w:val="both"/>
        <w:rPr>
          <w:rFonts w:eastAsia="Cambria Math"/>
          <w:b/>
        </w:rPr>
      </w:pPr>
      <w:r>
        <w:rPr>
          <w:rFonts w:eastAsia="Cambria Math"/>
          <w:b/>
          <w:lang w:val="en-US"/>
        </w:rPr>
        <w:t>9</w:t>
      </w:r>
      <w:r>
        <w:rPr>
          <w:rFonts w:eastAsia="Cambria Math"/>
          <w:b/>
        </w:rPr>
        <w:t xml:space="preserve"> - OBRIGAÇÕES DA CONTRATANTE</w:t>
      </w:r>
    </w:p>
    <w:p w14:paraId="43696EBA">
      <w:pPr>
        <w:jc w:val="both"/>
      </w:pPr>
    </w:p>
    <w:p w14:paraId="3EC9A43F">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Disponibilizar profissional específico, para acompanhar a execução do objeto licitado; </w:t>
      </w:r>
    </w:p>
    <w:p w14:paraId="58AEEB16">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Encaminhar formalmente a demanda, de acordo com os critérios estabelecidos no Termo de Referência; </w:t>
      </w:r>
    </w:p>
    <w:p w14:paraId="497DA1E7">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Verificar se o objeto contratado se encontra em conformidade com a proposta, conforme inspeções realizadas no prazo e condições estabelecidas no Edital e seus anexos; </w:t>
      </w:r>
    </w:p>
    <w:p w14:paraId="73B8FEDF">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Comunicar à contratada, por escrito, sobre imperfeições, falhas ou irregularidades verificadas; </w:t>
      </w:r>
    </w:p>
    <w:p w14:paraId="1B1696B1">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Acompanhar e fiscalizar o cumprimento das obrigações servidor especialmente designado; </w:t>
      </w:r>
    </w:p>
    <w:p w14:paraId="4C9FCA82">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Aplicar as sanções administrativas regulamentares e contratuais cabíveis; </w:t>
      </w:r>
    </w:p>
    <w:p w14:paraId="2928BEA3">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Efetuar o pagamento do objeto, no prazo e forma estabelecidos no Edital e seus anexos; </w:t>
      </w:r>
    </w:p>
    <w:p w14:paraId="1B262BCA">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A Administração não responderá por quaisquer compromissos assumidos pela com terceiros, ainda que vinculados à execução do presente Termo de Contrato, bem como por qualquer dano causado a terceiros em decorrência de ato da Contratada, de seus empregados, prepostos ou subordinados; </w:t>
      </w:r>
    </w:p>
    <w:p w14:paraId="226A9D2E">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Nos termos do art. 117 Lei nº 14.133/21, 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 </w:t>
      </w:r>
    </w:p>
    <w:p w14:paraId="6F1CBB69">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3C4E92D9">
      <w:pPr>
        <w:pStyle w:val="69"/>
        <w:ind w:firstLine="708"/>
        <w:jc w:val="both"/>
        <w:rPr>
          <w:rFonts w:ascii="Times New Roman" w:hAnsi="Times New Roman" w:cs="Times New Roman"/>
          <w:color w:val="C00000"/>
        </w:rPr>
      </w:pPr>
    </w:p>
    <w:p w14:paraId="2D64514B">
      <w:pPr>
        <w:pStyle w:val="69"/>
        <w:rPr>
          <w:rFonts w:ascii="Times New Roman" w:hAnsi="Times New Roman" w:cs="Times New Roman"/>
          <w:color w:val="auto"/>
        </w:rPr>
      </w:pPr>
      <w:r>
        <w:rPr>
          <w:rFonts w:ascii="Times New Roman" w:hAnsi="Times New Roman" w:eastAsia="Cambria Math" w:cs="Times New Roman"/>
          <w:b/>
          <w:color w:val="auto"/>
          <w:lang w:val="en-US" w:eastAsia="pt-BR"/>
        </w:rPr>
        <w:t>10</w:t>
      </w:r>
      <w:r>
        <w:rPr>
          <w:rFonts w:ascii="Times New Roman" w:hAnsi="Times New Roman" w:eastAsia="Cambria Math" w:cs="Times New Roman"/>
          <w:b/>
          <w:color w:val="auto"/>
          <w:lang w:eastAsia="pt-BR"/>
        </w:rPr>
        <w:t xml:space="preserve"> - </w:t>
      </w:r>
      <w:r>
        <w:rPr>
          <w:rFonts w:ascii="Times New Roman" w:hAnsi="Times New Roman" w:cs="Times New Roman"/>
          <w:b/>
          <w:bCs/>
          <w:color w:val="auto"/>
        </w:rPr>
        <w:t xml:space="preserve">FORMA E CRITÉRIO DE SELEÇÃO DO FORNECEDOR </w:t>
      </w:r>
    </w:p>
    <w:p w14:paraId="7C8F8881">
      <w:pPr>
        <w:pStyle w:val="69"/>
        <w:rPr>
          <w:rFonts w:ascii="Times New Roman" w:hAnsi="Times New Roman" w:cs="Times New Roman"/>
          <w:color w:val="auto"/>
        </w:rPr>
      </w:pPr>
    </w:p>
    <w:p w14:paraId="2974AA09">
      <w:pPr>
        <w:spacing w:line="360" w:lineRule="auto"/>
        <w:jc w:val="both"/>
        <w:rPr>
          <w:sz w:val="24"/>
          <w:szCs w:val="24"/>
        </w:rPr>
      </w:pPr>
      <w:r>
        <w:rPr>
          <w:sz w:val="24"/>
          <w:szCs w:val="24"/>
        </w:rPr>
        <w:t xml:space="preserve">Forma de seleção e critério de julgamento da </w:t>
      </w:r>
      <w:r>
        <w:rPr>
          <w:spacing w:val="-2"/>
          <w:sz w:val="24"/>
          <w:szCs w:val="24"/>
        </w:rPr>
        <w:t>proposta</w:t>
      </w:r>
    </w:p>
    <w:p w14:paraId="7BABE7C5">
      <w:pPr>
        <w:spacing w:line="360" w:lineRule="auto"/>
        <w:jc w:val="both"/>
        <w:rPr>
          <w:sz w:val="24"/>
          <w:szCs w:val="24"/>
        </w:rPr>
      </w:pPr>
      <w:r>
        <w:rPr>
          <w:sz w:val="24"/>
          <w:szCs w:val="24"/>
        </w:rPr>
        <w:t>O fornecedor será selecionado por meio de Pregão Eletrônico.</w:t>
      </w:r>
    </w:p>
    <w:p w14:paraId="0CE75BDE">
      <w:pPr>
        <w:spacing w:line="360" w:lineRule="auto"/>
        <w:jc w:val="both"/>
        <w:rPr>
          <w:sz w:val="24"/>
          <w:szCs w:val="24"/>
        </w:rPr>
      </w:pPr>
      <w:r>
        <w:rPr>
          <w:sz w:val="24"/>
          <w:szCs w:val="24"/>
        </w:rPr>
        <w:t xml:space="preserve">A aquisição será mediante a assinatura do contrato e emissão da nota de empenho, conforme necessidade desta </w:t>
      </w:r>
      <w:r>
        <w:rPr>
          <w:spacing w:val="-2"/>
          <w:sz w:val="24"/>
          <w:szCs w:val="24"/>
        </w:rPr>
        <w:t>secretaria</w:t>
      </w:r>
    </w:p>
    <w:p w14:paraId="22BC0B53">
      <w:pPr>
        <w:spacing w:line="360" w:lineRule="auto"/>
        <w:jc w:val="both"/>
        <w:rPr>
          <w:sz w:val="24"/>
          <w:szCs w:val="24"/>
        </w:rPr>
      </w:pPr>
      <w:r>
        <w:rPr>
          <w:sz w:val="24"/>
          <w:szCs w:val="24"/>
        </w:rPr>
        <w:t xml:space="preserve">Exigências de </w:t>
      </w:r>
      <w:r>
        <w:rPr>
          <w:spacing w:val="-2"/>
          <w:sz w:val="24"/>
          <w:szCs w:val="24"/>
        </w:rPr>
        <w:t>habilitação</w:t>
      </w:r>
    </w:p>
    <w:p w14:paraId="230B210F">
      <w:pPr>
        <w:spacing w:line="360" w:lineRule="auto"/>
        <w:jc w:val="both"/>
        <w:rPr>
          <w:sz w:val="24"/>
          <w:szCs w:val="24"/>
        </w:rPr>
      </w:pPr>
      <w:r>
        <w:rPr>
          <w:sz w:val="24"/>
          <w:szCs w:val="24"/>
        </w:rPr>
        <w:t xml:space="preserve">Para fins de habilitação, deverá o licitante comprovar os seguintes </w:t>
      </w:r>
      <w:r>
        <w:rPr>
          <w:spacing w:val="-2"/>
          <w:sz w:val="24"/>
          <w:szCs w:val="24"/>
        </w:rPr>
        <w:t>requisitos:</w:t>
      </w:r>
    </w:p>
    <w:p w14:paraId="7CFFEEDF">
      <w:pPr>
        <w:spacing w:line="360" w:lineRule="auto"/>
        <w:jc w:val="both"/>
        <w:rPr>
          <w:sz w:val="24"/>
          <w:szCs w:val="24"/>
        </w:rPr>
      </w:pPr>
      <w:r>
        <w:rPr>
          <w:sz w:val="24"/>
          <w:szCs w:val="24"/>
        </w:rPr>
        <w:t xml:space="preserve">Habilitação </w:t>
      </w:r>
      <w:r>
        <w:rPr>
          <w:spacing w:val="-2"/>
          <w:sz w:val="24"/>
          <w:szCs w:val="24"/>
        </w:rPr>
        <w:t>jurídica</w:t>
      </w:r>
    </w:p>
    <w:p w14:paraId="017BEA96">
      <w:pPr>
        <w:spacing w:line="360" w:lineRule="auto"/>
        <w:jc w:val="both"/>
        <w:rPr>
          <w:sz w:val="24"/>
          <w:szCs w:val="24"/>
        </w:rPr>
      </w:pPr>
      <w:r>
        <w:rPr>
          <w:b/>
          <w:sz w:val="24"/>
          <w:szCs w:val="24"/>
        </w:rPr>
        <w:t xml:space="preserve">Microempreendedor Individual - MEI: </w:t>
      </w:r>
      <w:r>
        <w:rPr>
          <w:sz w:val="24"/>
          <w:szCs w:val="24"/>
        </w:rPr>
        <w:t xml:space="preserve">Certificado da Condição de Microempreendedor Individual - CCMEI, cuja aceitação ficará condicionada à verificação da autenticidade no sítio </w:t>
      </w:r>
      <w:r>
        <w:fldChar w:fldCharType="begin"/>
      </w:r>
      <w:r>
        <w:instrText xml:space="preserve"> HYPERLINK "http://www.gov.br/empresas-e-negocios/pt-br/empreendedor%3B" \h </w:instrText>
      </w:r>
      <w:r>
        <w:fldChar w:fldCharType="separate"/>
      </w:r>
      <w:r>
        <w:rPr>
          <w:sz w:val="24"/>
          <w:szCs w:val="24"/>
        </w:rPr>
        <w:t>https://www.gov.br/empresas-e-negocios/pt-br/empreendedor;</w:t>
      </w:r>
      <w:r>
        <w:rPr>
          <w:sz w:val="24"/>
          <w:szCs w:val="24"/>
        </w:rPr>
        <w:fldChar w:fldCharType="end"/>
      </w:r>
    </w:p>
    <w:p w14:paraId="09E31C7D">
      <w:pPr>
        <w:spacing w:line="360" w:lineRule="auto"/>
        <w:jc w:val="both"/>
        <w:rPr>
          <w:sz w:val="24"/>
          <w:szCs w:val="24"/>
        </w:rPr>
      </w:pPr>
      <w:r>
        <w:rPr>
          <w:sz w:val="24"/>
          <w:szCs w:val="24"/>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w:t>
      </w:r>
      <w:r>
        <w:rPr>
          <w:spacing w:val="-2"/>
          <w:sz w:val="24"/>
          <w:szCs w:val="24"/>
        </w:rPr>
        <w:t>administradores;</w:t>
      </w:r>
    </w:p>
    <w:p w14:paraId="68C8B064">
      <w:pPr>
        <w:spacing w:line="360" w:lineRule="auto"/>
        <w:jc w:val="both"/>
        <w:rPr>
          <w:sz w:val="24"/>
          <w:szCs w:val="24"/>
        </w:rPr>
      </w:pPr>
      <w:r>
        <w:rPr>
          <w:b/>
          <w:sz w:val="24"/>
          <w:szCs w:val="24"/>
        </w:rPr>
        <w:t xml:space="preserve">Sociedade empresária estrangeira: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623CE85">
      <w:pPr>
        <w:spacing w:line="360" w:lineRule="auto"/>
        <w:jc w:val="both"/>
        <w:rPr>
          <w:sz w:val="24"/>
          <w:szCs w:val="24"/>
        </w:rPr>
      </w:pPr>
      <w:r>
        <w:rPr>
          <w:b/>
          <w:sz w:val="24"/>
          <w:szCs w:val="24"/>
        </w:rPr>
        <w:t xml:space="preserve">Sociedade simples: </w:t>
      </w:r>
      <w:r>
        <w:rPr>
          <w:sz w:val="24"/>
          <w:szCs w:val="24"/>
        </w:rPr>
        <w:t>inscrição do ato constitutivo no Registro Civil de Pessoas Jurídicas do local de sua sede, acompanhada de documento comprobatório de seus administradores;</w:t>
      </w:r>
    </w:p>
    <w:p w14:paraId="56B6B2E9">
      <w:pPr>
        <w:spacing w:line="360" w:lineRule="auto"/>
        <w:jc w:val="both"/>
        <w:rPr>
          <w:sz w:val="24"/>
          <w:szCs w:val="24"/>
        </w:rPr>
      </w:pPr>
      <w:r>
        <w:rPr>
          <w:b/>
          <w:sz w:val="24"/>
          <w:szCs w:val="24"/>
        </w:rPr>
        <w:t xml:space="preserve">Filial, sucursal ou agência de sociedade simples ou empresária: </w:t>
      </w:r>
      <w:r>
        <w:rPr>
          <w:sz w:val="24"/>
          <w:szCs w:val="24"/>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9FA7261">
      <w:pPr>
        <w:spacing w:line="360" w:lineRule="auto"/>
        <w:jc w:val="both"/>
        <w:rPr>
          <w:sz w:val="24"/>
          <w:szCs w:val="24"/>
        </w:rPr>
      </w:pPr>
      <w:r>
        <w:rPr>
          <w:b/>
          <w:sz w:val="24"/>
          <w:szCs w:val="24"/>
        </w:rPr>
        <w:t xml:space="preserve">Sociedade cooperativa: </w:t>
      </w:r>
      <w:r>
        <w:rPr>
          <w:sz w:val="24"/>
          <w:szCs w:val="24"/>
        </w:rPr>
        <w:t>ata de fundação e estatuto social, com a ata da assembleia que o aprovou, devidamente arquivado na Junta Comercial ou inscrito no Registro Civil das Pessoas Jurídicas da respectiva sede além doregistrodequetrataoart.107daLeinº5.764, de 16 de dezembro 1971.</w:t>
      </w:r>
    </w:p>
    <w:p w14:paraId="5802D5FE">
      <w:pPr>
        <w:spacing w:line="360" w:lineRule="auto"/>
        <w:jc w:val="both"/>
        <w:rPr>
          <w:b/>
          <w:spacing w:val="-2"/>
          <w:sz w:val="36"/>
          <w:szCs w:val="36"/>
        </w:rPr>
      </w:pPr>
      <w:r>
        <w:rPr>
          <w:b/>
          <w:sz w:val="24"/>
          <w:szCs w:val="24"/>
        </w:rPr>
        <w:t xml:space="preserve">Habilitação fiscal, social e </w:t>
      </w:r>
      <w:r>
        <w:rPr>
          <w:b/>
          <w:spacing w:val="-2"/>
          <w:sz w:val="24"/>
          <w:szCs w:val="24"/>
        </w:rPr>
        <w:t xml:space="preserve">trabalhista  </w:t>
      </w:r>
      <w:r>
        <w:rPr>
          <w:b/>
          <w:spacing w:val="-2"/>
          <w:sz w:val="36"/>
          <w:szCs w:val="36"/>
        </w:rPr>
        <w:t xml:space="preserve"> </w:t>
      </w:r>
    </w:p>
    <w:p w14:paraId="7FD85A8B">
      <w:pPr>
        <w:spacing w:line="360" w:lineRule="auto"/>
        <w:jc w:val="both"/>
        <w:rPr>
          <w:sz w:val="24"/>
          <w:szCs w:val="24"/>
        </w:rPr>
      </w:pPr>
      <w:r>
        <w:rPr>
          <w:sz w:val="24"/>
          <w:szCs w:val="24"/>
        </w:rPr>
        <w:t xml:space="preserve">Prova de inscrição no Cadastro Nacional de Pessoas </w:t>
      </w:r>
      <w:r>
        <w:rPr>
          <w:spacing w:val="-2"/>
          <w:sz w:val="24"/>
          <w:szCs w:val="24"/>
        </w:rPr>
        <w:t>Jurídicas;</w:t>
      </w:r>
    </w:p>
    <w:p w14:paraId="2A168E91">
      <w:pPr>
        <w:spacing w:line="360" w:lineRule="auto"/>
        <w:jc w:val="both"/>
        <w:rPr>
          <w:spacing w:val="-2"/>
          <w:sz w:val="24"/>
          <w:szCs w:val="24"/>
        </w:rPr>
      </w:pPr>
      <w:r>
        <w:rPr>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nº1.751, de 02 de outubro de 2014, do Secretário da Receita Federal do Brasil e da Procuradora-Geral da Fazenda </w:t>
      </w:r>
      <w:r>
        <w:rPr>
          <w:spacing w:val="-2"/>
          <w:sz w:val="24"/>
          <w:szCs w:val="24"/>
        </w:rPr>
        <w:t>Nacional.</w:t>
      </w:r>
    </w:p>
    <w:p w14:paraId="3E68251F">
      <w:pPr>
        <w:spacing w:line="360" w:lineRule="auto"/>
        <w:jc w:val="both"/>
        <w:rPr>
          <w:sz w:val="24"/>
          <w:szCs w:val="24"/>
        </w:rPr>
      </w:pPr>
      <w:r>
        <w:rPr>
          <w:sz w:val="24"/>
          <w:szCs w:val="24"/>
        </w:rPr>
        <w:t xml:space="preserve">Prova de regularidade com o Fundo de Garantia do Tempo de Serviço </w:t>
      </w:r>
      <w:r>
        <w:rPr>
          <w:spacing w:val="-2"/>
          <w:sz w:val="24"/>
          <w:szCs w:val="24"/>
        </w:rPr>
        <w:t>(FGTS);</w:t>
      </w:r>
    </w:p>
    <w:p w14:paraId="3C64E4F0">
      <w:pPr>
        <w:spacing w:line="360" w:lineRule="auto"/>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de1ºde maio de 1943;</w:t>
      </w:r>
    </w:p>
    <w:p w14:paraId="05AF9A64">
      <w:pPr>
        <w:spacing w:line="360" w:lineRule="auto"/>
        <w:jc w:val="both"/>
        <w:rPr>
          <w:sz w:val="24"/>
          <w:szCs w:val="24"/>
        </w:rPr>
      </w:pPr>
      <w:r>
        <w:rPr>
          <w:sz w:val="24"/>
          <w:szCs w:val="24"/>
        </w:rPr>
        <w:t xml:space="preserve">Prova de inscrição no cadastro de contribuintes </w:t>
      </w:r>
      <w:r>
        <w:rPr>
          <w:i/>
          <w:sz w:val="24"/>
          <w:szCs w:val="24"/>
        </w:rPr>
        <w:t xml:space="preserve">[Estadual/Distrital] </w:t>
      </w:r>
      <w:r>
        <w:rPr>
          <w:sz w:val="24"/>
          <w:szCs w:val="24"/>
        </w:rPr>
        <w:t xml:space="preserve">e </w:t>
      </w:r>
      <w:r>
        <w:rPr>
          <w:i/>
          <w:spacing w:val="-2"/>
          <w:sz w:val="24"/>
          <w:szCs w:val="24"/>
        </w:rPr>
        <w:t>[Municipal/Distrital]</w:t>
      </w:r>
    </w:p>
    <w:p w14:paraId="3CC2A194">
      <w:pPr>
        <w:spacing w:line="360" w:lineRule="auto"/>
        <w:jc w:val="both"/>
        <w:rPr>
          <w:sz w:val="24"/>
          <w:szCs w:val="24"/>
        </w:rPr>
      </w:pPr>
      <w:r>
        <w:rPr>
          <w:sz w:val="24"/>
          <w:szCs w:val="24"/>
        </w:rPr>
        <w:t>Relativo ao domicílio ou sede do fornecedor, pertinente ao seu ramo de atividade e compatível com o objeto contratual;</w:t>
      </w:r>
    </w:p>
    <w:p w14:paraId="11BD8DE6">
      <w:pPr>
        <w:spacing w:line="360" w:lineRule="auto"/>
        <w:jc w:val="both"/>
        <w:rPr>
          <w:sz w:val="24"/>
          <w:szCs w:val="24"/>
        </w:rPr>
      </w:pPr>
      <w:r>
        <w:rPr>
          <w:sz w:val="24"/>
          <w:szCs w:val="24"/>
        </w:rPr>
        <w:t xml:space="preserve">Prova de regularidade com a Fazenda </w:t>
      </w:r>
      <w:r>
        <w:rPr>
          <w:i/>
          <w:sz w:val="24"/>
          <w:szCs w:val="24"/>
        </w:rPr>
        <w:t xml:space="preserve">Estadual/Distrital e Municipal/Distrital </w:t>
      </w:r>
      <w:r>
        <w:rPr>
          <w:sz w:val="24"/>
          <w:szCs w:val="24"/>
        </w:rPr>
        <w:t>do domicílio ou sede do fornecedor, relativa à atividade em cujo exercício contrata ou concorre;</w:t>
      </w:r>
    </w:p>
    <w:p w14:paraId="2FF96FF2">
      <w:pPr>
        <w:spacing w:line="360" w:lineRule="auto"/>
        <w:jc w:val="both"/>
        <w:rPr>
          <w:sz w:val="24"/>
          <w:szCs w:val="24"/>
        </w:rPr>
      </w:pPr>
      <w:r>
        <w:rPr>
          <w:sz w:val="24"/>
          <w:szCs w:val="24"/>
        </w:rPr>
        <w:t xml:space="preserve">Caso o fornecedor seja considerado isento dos tributos </w:t>
      </w:r>
      <w:r>
        <w:rPr>
          <w:i/>
          <w:sz w:val="24"/>
          <w:szCs w:val="24"/>
        </w:rPr>
        <w:t xml:space="preserve">[Estadual/Distrital] e [Municipal/Distrital] </w:t>
      </w:r>
      <w:r>
        <w:rPr>
          <w:sz w:val="24"/>
          <w:szCs w:val="24"/>
        </w:rPr>
        <w:t>relacionados ao objeto contratual, deverá comprovar tal condição mediante a apresentação de declaração da Fazenda respectiva do seu domicílio ou sede, ou outra equivalente, na forma da lei.</w:t>
      </w:r>
    </w:p>
    <w:p w14:paraId="0F486405">
      <w:pPr>
        <w:spacing w:line="360" w:lineRule="auto"/>
        <w:jc w:val="both"/>
        <w:rPr>
          <w:sz w:val="24"/>
          <w:szCs w:val="24"/>
        </w:rPr>
      </w:pPr>
      <w:r>
        <w:rPr>
          <w:sz w:val="24"/>
          <w:szCs w:val="24"/>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6731C3C5">
      <w:pPr>
        <w:spacing w:line="360" w:lineRule="auto"/>
        <w:jc w:val="both"/>
        <w:rPr>
          <w:sz w:val="24"/>
          <w:szCs w:val="24"/>
        </w:rPr>
      </w:pPr>
      <w:r>
        <w:rPr>
          <w:sz w:val="24"/>
          <w:szCs w:val="24"/>
        </w:rPr>
        <w:t>Qualificação Tecnica</w:t>
      </w:r>
    </w:p>
    <w:p w14:paraId="7B303FFE">
      <w:pPr>
        <w:pStyle w:val="20"/>
        <w:rPr>
          <w:rFonts w:ascii="Times New Roman" w:hAnsi="Times New Roman"/>
        </w:rPr>
      </w:pPr>
      <w:r>
        <w:rPr>
          <w:rFonts w:ascii="Times New Roman" w:hAnsi="Times New Roman"/>
        </w:rPr>
        <w:t>Comprovação através da apresentação de atestado(s) fornecido(s) por pessoa jurídica de direito público ou privado de que atua no ramo de atividade do fornecimento do objeto desta licitação e de que cumpriu, ou vem cumprindo, integralmente e de modo satisfatório Contrato anteriormente mantido com o emitente do atestado</w:t>
      </w:r>
      <w:r>
        <w:rPr>
          <w:rFonts w:ascii="Times New Roman" w:hAnsi="Times New Roman"/>
          <w:lang w:val="pt-BR"/>
        </w:rPr>
        <w:t>.</w:t>
      </w:r>
    </w:p>
    <w:p w14:paraId="0513F4E7">
      <w:pPr>
        <w:pStyle w:val="69"/>
        <w:ind w:firstLine="708"/>
        <w:jc w:val="both"/>
        <w:rPr>
          <w:rFonts w:ascii="Times New Roman" w:hAnsi="Times New Roman" w:cs="Times New Roman"/>
          <w:color w:val="C00000"/>
          <w:sz w:val="22"/>
          <w:szCs w:val="22"/>
        </w:rPr>
      </w:pPr>
    </w:p>
    <w:p w14:paraId="69A6FEAF">
      <w:pPr>
        <w:pStyle w:val="69"/>
        <w:rPr>
          <w:rFonts w:ascii="Times New Roman" w:hAnsi="Times New Roman" w:cs="Times New Roman"/>
          <w:b/>
          <w:color w:val="auto"/>
          <w:sz w:val="22"/>
          <w:szCs w:val="22"/>
        </w:rPr>
      </w:pPr>
      <w:r>
        <w:rPr>
          <w:rFonts w:ascii="Times New Roman" w:hAnsi="Times New Roman" w:cs="Times New Roman"/>
          <w:b/>
          <w:color w:val="auto"/>
          <w:sz w:val="22"/>
          <w:szCs w:val="22"/>
        </w:rPr>
        <w:t>11 - DOTAÇÃO ORÇAMENTÁRIA</w:t>
      </w:r>
    </w:p>
    <w:p w14:paraId="46856554">
      <w:pPr>
        <w:pStyle w:val="69"/>
        <w:rPr>
          <w:rFonts w:ascii="Times New Roman" w:hAnsi="Times New Roman" w:cs="Times New Roman"/>
          <w:color w:val="auto"/>
          <w:sz w:val="22"/>
          <w:szCs w:val="22"/>
        </w:rPr>
      </w:pPr>
      <w:r>
        <w:rPr>
          <w:rFonts w:ascii="Times New Roman" w:hAnsi="Times New Roman" w:cs="Times New Roman"/>
          <w:color w:val="auto"/>
          <w:sz w:val="22"/>
          <w:szCs w:val="22"/>
        </w:rPr>
        <w:t xml:space="preserve"> </w:t>
      </w:r>
    </w:p>
    <w:p w14:paraId="068D149F">
      <w:pPr>
        <w:jc w:val="both"/>
        <w:rPr>
          <w:rFonts w:eastAsia="Cambria Math"/>
          <w:lang w:val="en-US"/>
        </w:rPr>
      </w:pPr>
      <w:r>
        <w:rPr>
          <w:rFonts w:eastAsia="SimSun"/>
          <w:sz w:val="24"/>
          <w:szCs w:val="24"/>
        </w:rPr>
        <w:t>03.01.10.302.0029.1132.44.90.52.00.00.00.2601</w:t>
      </w:r>
    </w:p>
    <w:p w14:paraId="6D5CC7B7">
      <w:pPr>
        <w:jc w:val="both"/>
        <w:rPr>
          <w:rFonts w:eastAsia="Cambria Math"/>
          <w:b/>
          <w:lang w:val="en-US"/>
        </w:rPr>
      </w:pPr>
    </w:p>
    <w:p w14:paraId="1B669AEA">
      <w:pPr>
        <w:spacing w:line="360" w:lineRule="auto"/>
        <w:jc w:val="both"/>
        <w:rPr>
          <w:rFonts w:eastAsia="Cambria Math"/>
          <w:b/>
          <w:u w:val="single"/>
        </w:rPr>
      </w:pPr>
      <w:r>
        <w:rPr>
          <w:rFonts w:eastAsia="Cambria Math"/>
          <w:b/>
          <w:lang w:val="en-US"/>
        </w:rPr>
        <w:t>12</w:t>
      </w:r>
      <w:r>
        <w:rPr>
          <w:rFonts w:eastAsia="Cambria Math"/>
          <w:b/>
        </w:rPr>
        <w:t xml:space="preserve"> - DO PAGAMENTO</w:t>
      </w:r>
    </w:p>
    <w:p w14:paraId="4A51B7FB">
      <w:pPr>
        <w:spacing w:line="360" w:lineRule="auto"/>
      </w:pPr>
    </w:p>
    <w:p w14:paraId="3C0C0222">
      <w:pPr>
        <w:spacing w:line="360" w:lineRule="auto"/>
        <w:jc w:val="both"/>
      </w:pPr>
      <w:r>
        <w:rPr>
          <w:sz w:val="24"/>
          <w:szCs w:val="24"/>
        </w:rPr>
        <w:t>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w:t>
      </w:r>
      <w:r>
        <w:t xml:space="preserve"> </w:t>
      </w:r>
    </w:p>
    <w:p w14:paraId="33BAA60C">
      <w:pPr>
        <w:jc w:val="both"/>
      </w:pPr>
    </w:p>
    <w:p w14:paraId="1A80F014">
      <w:pPr>
        <w:jc w:val="both"/>
        <w:rPr>
          <w:rFonts w:eastAsia="Cambria Math"/>
          <w:b/>
        </w:rPr>
      </w:pPr>
      <w:r>
        <w:rPr>
          <w:b/>
          <w:sz w:val="24"/>
          <w:szCs w:val="24"/>
        </w:rPr>
        <w:t xml:space="preserve">13 - </w:t>
      </w:r>
      <w:r>
        <w:rPr>
          <w:rFonts w:eastAsia="Cambria Math"/>
          <w:b/>
        </w:rPr>
        <w:t>VIGÊNCIA</w:t>
      </w:r>
    </w:p>
    <w:p w14:paraId="5F87014F">
      <w:pPr>
        <w:pStyle w:val="273"/>
        <w:spacing w:line="360" w:lineRule="auto"/>
        <w:jc w:val="both"/>
        <w:rPr>
          <w:rFonts w:ascii="Times New Roman" w:hAnsi="Times New Roman" w:cs="Times New Roman"/>
        </w:rPr>
      </w:pPr>
    </w:p>
    <w:p w14:paraId="3DFAC15C">
      <w:pPr>
        <w:pStyle w:val="273"/>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 contrato deverá ter vigência pelo </w:t>
      </w:r>
      <w:r>
        <w:rPr>
          <w:rFonts w:ascii="Times New Roman" w:hAnsi="Times New Roman" w:eastAsia="Cambria Math" w:cs="Times New Roman"/>
          <w:sz w:val="24"/>
          <w:szCs w:val="24"/>
        </w:rPr>
        <w:t>período de 12 meses podendo ser prorrogado por igual período</w:t>
      </w:r>
      <w:r>
        <w:rPr>
          <w:rFonts w:ascii="Times New Roman" w:hAnsi="Times New Roman" w:eastAsia="Times New Roman" w:cs="Times New Roman"/>
          <w:sz w:val="24"/>
          <w:szCs w:val="24"/>
        </w:rPr>
        <w:t>.</w:t>
      </w:r>
    </w:p>
    <w:p w14:paraId="57D8BF5C">
      <w:pPr>
        <w:jc w:val="both"/>
      </w:pPr>
    </w:p>
    <w:p w14:paraId="31321D91">
      <w:pPr>
        <w:jc w:val="both"/>
        <w:rPr>
          <w:rFonts w:eastAsia="Cambria Math"/>
          <w:b/>
        </w:rPr>
      </w:pPr>
      <w:r>
        <w:rPr>
          <w:rFonts w:eastAsia="Cambria Math"/>
          <w:b/>
          <w:lang w:val="en-US"/>
        </w:rPr>
        <w:t>14</w:t>
      </w:r>
      <w:r>
        <w:rPr>
          <w:rFonts w:eastAsia="Cambria Math"/>
          <w:b/>
        </w:rPr>
        <w:t xml:space="preserve"> - VALOR ESTIMADO DA CONTRATAÇÃO</w:t>
      </w:r>
    </w:p>
    <w:p w14:paraId="6AA501CA">
      <w:pPr>
        <w:jc w:val="both"/>
        <w:rPr>
          <w:rFonts w:eastAsia="Cambria Math"/>
          <w:b/>
          <w:sz w:val="24"/>
          <w:szCs w:val="24"/>
        </w:rPr>
      </w:pPr>
    </w:p>
    <w:p w14:paraId="57429279">
      <w:pPr>
        <w:jc w:val="both"/>
        <w:rPr>
          <w:sz w:val="24"/>
          <w:szCs w:val="24"/>
        </w:rPr>
      </w:pPr>
      <w:r>
        <w:rPr>
          <w:sz w:val="24"/>
          <w:szCs w:val="24"/>
        </w:rPr>
        <w:t xml:space="preserve">O custo estimado total da contratação pelo menor preço é de </w:t>
      </w:r>
      <w:r>
        <w:rPr>
          <w:rFonts w:eastAsia="SimSun"/>
          <w:sz w:val="24"/>
          <w:szCs w:val="24"/>
          <w:lang w:val="en-US" w:eastAsia="zh-CN" w:bidi="ar"/>
        </w:rPr>
        <w:t xml:space="preserve">R$ </w:t>
      </w:r>
      <w:r>
        <w:rPr>
          <w:rFonts w:eastAsia="SimSun"/>
          <w:sz w:val="24"/>
          <w:szCs w:val="24"/>
          <w:lang w:eastAsia="zh-CN" w:bidi="ar"/>
        </w:rPr>
        <w:t>97.000,00 (noventa e sete mil reais),</w:t>
      </w:r>
      <w:r>
        <w:rPr>
          <w:sz w:val="24"/>
          <w:szCs w:val="24"/>
        </w:rPr>
        <w:t xml:space="preserve"> conforme custos avaliados através de pesquisa de preço realizada.</w:t>
      </w:r>
    </w:p>
    <w:p w14:paraId="2FFA21F8">
      <w:pPr>
        <w:jc w:val="both"/>
        <w:rPr>
          <w:sz w:val="24"/>
          <w:szCs w:val="24"/>
        </w:rPr>
      </w:pPr>
    </w:p>
    <w:p w14:paraId="29F60428">
      <w:pPr>
        <w:jc w:val="both"/>
        <w:rPr>
          <w:rFonts w:eastAsia="Cambria Math"/>
          <w:b/>
          <w:lang w:val="en-US"/>
        </w:rPr>
      </w:pPr>
      <w:r>
        <w:rPr>
          <w:rFonts w:eastAsia="Cambria Math"/>
          <w:b/>
          <w:lang w:val="en-US"/>
        </w:rPr>
        <w:t>15</w:t>
      </w:r>
      <w:r>
        <w:rPr>
          <w:rFonts w:eastAsia="Cambria Math"/>
          <w:b/>
        </w:rPr>
        <w:t xml:space="preserve"> - RESPONSÁVE</w:t>
      </w:r>
      <w:r>
        <w:rPr>
          <w:rFonts w:eastAsia="Cambria Math"/>
          <w:b/>
          <w:lang w:val="en-US"/>
        </w:rPr>
        <w:t>L:</w:t>
      </w:r>
    </w:p>
    <w:p w14:paraId="5E0A3CEF">
      <w:pPr>
        <w:jc w:val="both"/>
        <w:rPr>
          <w:rFonts w:eastAsia="Cambria Math"/>
          <w:b/>
          <w:lang w:val="en-US"/>
        </w:rPr>
      </w:pPr>
    </w:p>
    <w:p w14:paraId="49D084D3">
      <w:pPr>
        <w:jc w:val="both"/>
        <w:rPr>
          <w:rFonts w:eastAsia="Cambria Math"/>
          <w:b/>
          <w:color w:val="C00000"/>
          <w:lang w:val="en-US"/>
        </w:rPr>
      </w:pPr>
    </w:p>
    <w:p w14:paraId="5F8470FC">
      <w:pPr>
        <w:jc w:val="both"/>
        <w:rPr>
          <w:rFonts w:eastAsia="Cambria Math"/>
          <w:b/>
          <w:color w:val="C00000"/>
          <w:lang w:val="en-US"/>
        </w:rPr>
      </w:pPr>
    </w:p>
    <w:p w14:paraId="76EF67AF">
      <w:pPr>
        <w:shd w:val="clear" w:color="auto" w:fill="FFFFFF"/>
        <w:spacing w:line="360" w:lineRule="auto"/>
        <w:jc w:val="center"/>
        <w:rPr>
          <w:sz w:val="24"/>
          <w:szCs w:val="24"/>
        </w:rPr>
      </w:pPr>
      <w:r>
        <w:rPr>
          <w:sz w:val="24"/>
          <w:szCs w:val="24"/>
        </w:rPr>
        <w:t>Valença, 09 de abril de 2026</w:t>
      </w:r>
    </w:p>
    <w:p w14:paraId="5969933E">
      <w:pPr>
        <w:widowControl w:val="0"/>
        <w:shd w:val="clear" w:color="auto" w:fill="FFFFFF"/>
        <w:suppressAutoHyphens/>
        <w:spacing w:line="360" w:lineRule="auto"/>
        <w:jc w:val="center"/>
        <w:rPr>
          <w:sz w:val="24"/>
          <w:szCs w:val="24"/>
        </w:rPr>
      </w:pPr>
    </w:p>
    <w:p w14:paraId="4242964D">
      <w:pPr>
        <w:spacing w:line="360" w:lineRule="auto"/>
        <w:contextualSpacing/>
        <w:jc w:val="center"/>
        <w:rPr>
          <w:sz w:val="24"/>
          <w:szCs w:val="24"/>
        </w:rPr>
      </w:pPr>
      <w:r>
        <w:rPr>
          <w:sz w:val="24"/>
          <w:szCs w:val="24"/>
        </w:rPr>
        <w:t>Flavine Mara Chaves</w:t>
      </w:r>
    </w:p>
    <w:p w14:paraId="0F8CED94">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eastAsia="Times New Roman" w:cs="Times New Roman"/>
          <w:bCs/>
        </w:rPr>
      </w:pPr>
      <w:r>
        <w:rPr>
          <w:rFonts w:ascii="Times New Roman" w:hAnsi="Times New Roman" w:eastAsia="Times New Roman" w:cs="Times New Roman"/>
          <w:b/>
          <w:bCs/>
          <w:color w:val="auto"/>
          <w:szCs w:val="24"/>
        </w:rPr>
        <w:t xml:space="preserve">Matrícula: </w:t>
      </w:r>
      <w:r>
        <w:rPr>
          <w:rFonts w:ascii="Times New Roman" w:hAnsi="Times New Roman" w:eastAsia="Times New Roman" w:cs="Times New Roman"/>
          <w:bCs/>
          <w:color w:val="auto"/>
          <w:szCs w:val="24"/>
        </w:rPr>
        <w:t>143.812</w:t>
      </w:r>
    </w:p>
    <w:p w14:paraId="220368A7">
      <w:pPr>
        <w:spacing w:before="288" w:beforeLines="120" w:after="288" w:afterLines="120" w:line="288" w:lineRule="auto"/>
        <w:contextualSpacing/>
        <w:jc w:val="center"/>
        <w:rPr>
          <w:rFonts w:eastAsia="MS Mincho" w:asciiTheme="minorHAnsi" w:hAnsiTheme="minorHAnsi" w:cstheme="minorHAnsi"/>
          <w:b/>
          <w:sz w:val="24"/>
          <w:szCs w:val="24"/>
        </w:rPr>
      </w:pPr>
    </w:p>
    <w:p w14:paraId="62D48BBB">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4EC17A57">
      <w:pPr>
        <w:spacing w:before="288" w:beforeLines="120" w:after="288" w:afterLines="120" w:line="288" w:lineRule="auto"/>
        <w:contextualSpacing/>
        <w:jc w:val="center"/>
        <w:rPr>
          <w:rFonts w:eastAsia="MS Mincho" w:asciiTheme="minorHAnsi" w:hAnsiTheme="minorHAnsi" w:cstheme="minorHAnsi"/>
          <w:b/>
          <w:sz w:val="24"/>
          <w:szCs w:val="24"/>
        </w:rPr>
      </w:pPr>
    </w:p>
    <w:p w14:paraId="153D4113">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74B07972">
      <w:pPr>
        <w:spacing w:before="288" w:beforeLines="120" w:after="288" w:afterLines="120" w:line="288" w:lineRule="auto"/>
        <w:contextualSpacing/>
        <w:rPr>
          <w:rFonts w:eastAsia="MS Mincho" w:asciiTheme="minorHAnsi" w:hAnsiTheme="minorHAnsi" w:cstheme="minorHAnsi"/>
          <w:b/>
          <w:sz w:val="24"/>
          <w:szCs w:val="24"/>
        </w:rPr>
      </w:pPr>
    </w:p>
    <w:p w14:paraId="29B3DC51">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szCs w:val="24"/>
        </w:rPr>
      </w:pPr>
      <w:r>
        <w:rPr>
          <w:rFonts w:ascii="Times New Roman" w:hAnsi="Times New Roman" w:eastAsia="Times New Roman" w:cs="Times New Roman"/>
          <w:b/>
          <w:bCs/>
          <w:szCs w:val="24"/>
        </w:rPr>
        <w:t xml:space="preserve">ÓRGÃO: </w:t>
      </w:r>
      <w:r>
        <w:rPr>
          <w:rFonts w:ascii="Times New Roman" w:hAnsi="Times New Roman" w:eastAsia="Times New Roman" w:cs="Times New Roman"/>
          <w:szCs w:val="24"/>
        </w:rPr>
        <w:t>Secretaria Municipal de Saúde</w:t>
      </w:r>
    </w:p>
    <w:p w14:paraId="7417CAEA">
      <w:pPr>
        <w:spacing w:line="360" w:lineRule="auto"/>
        <w:contextualSpacing/>
        <w:rPr>
          <w:sz w:val="24"/>
          <w:szCs w:val="24"/>
        </w:rPr>
      </w:pPr>
      <w:r>
        <w:rPr>
          <w:b/>
          <w:bCs/>
          <w:sz w:val="24"/>
          <w:szCs w:val="24"/>
        </w:rPr>
        <w:t xml:space="preserve">SETOR REQUISITANTE: </w:t>
      </w:r>
      <w:r>
        <w:rPr>
          <w:sz w:val="24"/>
          <w:szCs w:val="24"/>
        </w:rPr>
        <w:t>Programa Melhor em Casa - Serviço de Atendimento Domciliar - SAD</w:t>
      </w:r>
    </w:p>
    <w:p w14:paraId="4FD07BC0">
      <w:pPr>
        <w:spacing w:line="360" w:lineRule="auto"/>
        <w:contextualSpacing/>
        <w:rPr>
          <w:sz w:val="24"/>
          <w:szCs w:val="24"/>
        </w:rPr>
      </w:pPr>
      <w:r>
        <w:rPr>
          <w:b/>
          <w:bCs/>
          <w:sz w:val="24"/>
          <w:szCs w:val="24"/>
        </w:rPr>
        <w:t xml:space="preserve">RESPONSÁVEL PELA DEMANDA: </w:t>
      </w:r>
      <w:r>
        <w:rPr>
          <w:sz w:val="24"/>
          <w:szCs w:val="24"/>
        </w:rPr>
        <w:t>Flavine Mara Chaves</w:t>
      </w:r>
    </w:p>
    <w:p w14:paraId="0C2861A0">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Cs/>
          <w:szCs w:val="24"/>
        </w:rPr>
      </w:pPr>
      <w:r>
        <w:rPr>
          <w:rFonts w:ascii="Times New Roman" w:hAnsi="Times New Roman" w:eastAsia="Times New Roman" w:cs="Times New Roman"/>
          <w:b/>
          <w:bCs/>
          <w:szCs w:val="24"/>
        </w:rPr>
        <w:t xml:space="preserve">MATRÍCULA: </w:t>
      </w:r>
      <w:r>
        <w:rPr>
          <w:rFonts w:ascii="Times New Roman" w:hAnsi="Times New Roman" w:eastAsia="Times New Roman" w:cs="Times New Roman"/>
          <w:bCs/>
          <w:szCs w:val="24"/>
        </w:rPr>
        <w:t>143.812</w:t>
      </w:r>
    </w:p>
    <w:p w14:paraId="0435E7AF">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kern w:val="3"/>
          <w:szCs w:val="24"/>
          <w:lang w:eastAsia="zh-CN" w:bidi="hi-IN"/>
        </w:rPr>
      </w:pPr>
    </w:p>
    <w:p w14:paraId="2305CCAA">
      <w:pPr>
        <w:spacing w:line="360" w:lineRule="auto"/>
        <w:jc w:val="both"/>
        <w:rPr>
          <w:b/>
          <w:sz w:val="24"/>
          <w:szCs w:val="24"/>
        </w:rPr>
      </w:pPr>
      <w:r>
        <w:rPr>
          <w:b/>
          <w:sz w:val="24"/>
          <w:szCs w:val="24"/>
        </w:rPr>
        <w:t>INTRODUÇÃO</w:t>
      </w:r>
    </w:p>
    <w:p w14:paraId="3089500E">
      <w:pPr>
        <w:spacing w:line="360" w:lineRule="auto"/>
        <w:jc w:val="both"/>
        <w:rPr>
          <w:sz w:val="24"/>
          <w:szCs w:val="24"/>
        </w:rPr>
      </w:pPr>
      <w:r>
        <w:rPr>
          <w:sz w:val="24"/>
          <w:szCs w:val="24"/>
        </w:rPr>
        <w:t>O presente documento caracteriza a primeira etapa da fase de planejamento e apresenta os devidos estudos para a contratação de solução que atenderá à necessidade abaixo especificada.</w:t>
      </w:r>
    </w:p>
    <w:p w14:paraId="1ED0E8B4">
      <w:pPr>
        <w:spacing w:line="360" w:lineRule="auto"/>
        <w:jc w:val="both"/>
      </w:pPr>
      <w:r>
        <w:rPr>
          <w:sz w:val="24"/>
          <w:szCs w:val="24"/>
        </w:rPr>
        <w:t>O objetivo principal é estudar detalhadamente a necessidade de identificar no mercado a melhor solução para supri-la, em observância às normas vigentes e aos princípios que regem a Administração Pública.</w:t>
      </w:r>
    </w:p>
    <w:p w14:paraId="4F7BFD08">
      <w:pPr>
        <w:jc w:val="both"/>
        <w:rPr>
          <w:b/>
          <w:color w:val="000000"/>
          <w:sz w:val="24"/>
          <w:szCs w:val="24"/>
        </w:rPr>
      </w:pPr>
    </w:p>
    <w:p w14:paraId="62A70C39">
      <w:pPr>
        <w:pStyle w:val="72"/>
        <w:widowControl w:val="0"/>
        <w:numPr>
          <w:ilvl w:val="0"/>
          <w:numId w:val="8"/>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OBJETO</w:t>
      </w:r>
    </w:p>
    <w:p w14:paraId="3D8CCB43">
      <w:pPr>
        <w:spacing w:line="360" w:lineRule="auto"/>
        <w:jc w:val="both"/>
        <w:rPr>
          <w:rFonts w:eastAsia="SimSun"/>
          <w:sz w:val="24"/>
          <w:szCs w:val="24"/>
        </w:rPr>
      </w:pPr>
      <w:r>
        <w:rPr>
          <w:rFonts w:eastAsia="SimSun"/>
          <w:sz w:val="24"/>
          <w:szCs w:val="24"/>
        </w:rPr>
        <w:t>Aquisição de veículo para transporte da equipe multiprofissional do Serviço de Atendimento Domiciliar conforme estabelece seus critérios na portaria nº 825, de 25 de abril de 2016, destinada ao fortalecimento das ações e ao cuidado com o paciente. Proposta de Equipamento nº 11934211000125002.</w:t>
      </w:r>
    </w:p>
    <w:p w14:paraId="5D5E9A09">
      <w:pPr>
        <w:spacing w:line="360" w:lineRule="auto"/>
        <w:jc w:val="both"/>
        <w:rPr>
          <w:rFonts w:eastAsia="SimSun"/>
          <w:sz w:val="24"/>
          <w:szCs w:val="24"/>
        </w:rPr>
      </w:pPr>
    </w:p>
    <w:p w14:paraId="11483D2A">
      <w:pPr>
        <w:spacing w:line="360" w:lineRule="auto"/>
        <w:jc w:val="both"/>
        <w:rPr>
          <w:b/>
          <w:sz w:val="24"/>
          <w:szCs w:val="24"/>
        </w:rPr>
      </w:pPr>
      <w:r>
        <w:rPr>
          <w:b/>
          <w:sz w:val="24"/>
          <w:szCs w:val="24"/>
        </w:rPr>
        <w:t>2 - DESCRIÇÃO DA NECESSIDADE</w:t>
      </w:r>
    </w:p>
    <w:p w14:paraId="1B5F2B55">
      <w:pPr>
        <w:pStyle w:val="24"/>
        <w:spacing w:line="360" w:lineRule="auto"/>
        <w:jc w:val="both"/>
      </w:pPr>
      <w:r>
        <w:t>O Serviço de Atendimento Domiciliar (SAD) é responsável pela prestação de cuidados de saúde no domicílio dos usuários do Sistema Único de Saúde (SUS), garantindo assistência contínua, humanizada e integral, especialmente a pacientes com dificuldade de locomoção ou em condições clínicas que demandam acompanhamento frequente.</w:t>
      </w:r>
    </w:p>
    <w:p w14:paraId="2D0E22C3">
      <w:pPr>
        <w:pStyle w:val="24"/>
        <w:spacing w:line="360" w:lineRule="auto"/>
        <w:jc w:val="both"/>
      </w:pPr>
      <w:r>
        <w:t>A execução das atividades do SAD depende diretamente do deslocamento da equipe multiprofissional, composta por médicos, enfermeiros, técnicos de enfermagem, fisioterapeutas e outros profissionais, até as residências dos pacientes distribuídos em diferentes áreas do município.</w:t>
      </w:r>
    </w:p>
    <w:p w14:paraId="1258663D">
      <w:pPr>
        <w:pStyle w:val="24"/>
        <w:spacing w:line="360" w:lineRule="auto"/>
        <w:jc w:val="both"/>
      </w:pPr>
      <w:r>
        <w:t>Entretanto, verifica-se a insuficiência/ausência de veículo exclusivo para atendimento do serviço, o que compromete a logística operacional, ocasionando:</w:t>
      </w:r>
    </w:p>
    <w:p w14:paraId="6456EC01">
      <w:pPr>
        <w:numPr>
          <w:ilvl w:val="0"/>
          <w:numId w:val="6"/>
        </w:numPr>
        <w:suppressAutoHyphens/>
        <w:spacing w:beforeAutospacing="1" w:afterAutospacing="1" w:line="360" w:lineRule="auto"/>
        <w:jc w:val="both"/>
        <w:rPr>
          <w:sz w:val="24"/>
          <w:szCs w:val="24"/>
        </w:rPr>
      </w:pPr>
      <w:r>
        <w:rPr>
          <w:sz w:val="24"/>
          <w:szCs w:val="24"/>
        </w:rPr>
        <w:t xml:space="preserve">atrasos nos atendimentos programados; </w:t>
      </w:r>
    </w:p>
    <w:p w14:paraId="75A8C4E4">
      <w:pPr>
        <w:numPr>
          <w:ilvl w:val="0"/>
          <w:numId w:val="6"/>
        </w:numPr>
        <w:suppressAutoHyphens/>
        <w:spacing w:beforeAutospacing="1" w:afterAutospacing="1" w:line="360" w:lineRule="auto"/>
        <w:jc w:val="both"/>
        <w:rPr>
          <w:sz w:val="24"/>
          <w:szCs w:val="24"/>
        </w:rPr>
      </w:pPr>
      <w:r>
        <w:rPr>
          <w:sz w:val="24"/>
          <w:szCs w:val="24"/>
        </w:rPr>
        <w:t xml:space="preserve">redução da capacidade de cobertura assistencial; </w:t>
      </w:r>
    </w:p>
    <w:p w14:paraId="6696598F">
      <w:pPr>
        <w:numPr>
          <w:ilvl w:val="0"/>
          <w:numId w:val="6"/>
        </w:numPr>
        <w:suppressAutoHyphens/>
        <w:spacing w:beforeAutospacing="1" w:afterAutospacing="1" w:line="360" w:lineRule="auto"/>
        <w:jc w:val="both"/>
        <w:rPr>
          <w:sz w:val="24"/>
          <w:szCs w:val="24"/>
        </w:rPr>
      </w:pPr>
      <w:r>
        <w:rPr>
          <w:sz w:val="24"/>
          <w:szCs w:val="24"/>
        </w:rPr>
        <w:t xml:space="preserve">dificuldades no transporte de equipamentos e insumos; </w:t>
      </w:r>
    </w:p>
    <w:p w14:paraId="30F6B12C">
      <w:pPr>
        <w:numPr>
          <w:ilvl w:val="0"/>
          <w:numId w:val="6"/>
        </w:numPr>
        <w:suppressAutoHyphens/>
        <w:spacing w:beforeAutospacing="1" w:afterAutospacing="1" w:line="360" w:lineRule="auto"/>
        <w:jc w:val="both"/>
        <w:rPr>
          <w:sz w:val="24"/>
          <w:szCs w:val="24"/>
        </w:rPr>
      </w:pPr>
      <w:r>
        <w:rPr>
          <w:sz w:val="24"/>
          <w:szCs w:val="24"/>
        </w:rPr>
        <w:t xml:space="preserve">prejuízos à continuidade e qualidade da assistência prestada. </w:t>
      </w:r>
    </w:p>
    <w:p w14:paraId="02F79FE2">
      <w:pPr>
        <w:pStyle w:val="24"/>
        <w:spacing w:line="360" w:lineRule="auto"/>
        <w:jc w:val="both"/>
      </w:pPr>
      <w:r>
        <w:t>Diante desse cenário, torna-se imprescindível a aquisição de veículo adequado, que possibilite:</w:t>
      </w:r>
    </w:p>
    <w:p w14:paraId="70BD4BBC">
      <w:pPr>
        <w:numPr>
          <w:ilvl w:val="0"/>
          <w:numId w:val="7"/>
        </w:numPr>
        <w:suppressAutoHyphens/>
        <w:spacing w:beforeAutospacing="1" w:afterAutospacing="1" w:line="360" w:lineRule="auto"/>
        <w:jc w:val="both"/>
        <w:rPr>
          <w:sz w:val="24"/>
          <w:szCs w:val="24"/>
        </w:rPr>
      </w:pPr>
      <w:r>
        <w:rPr>
          <w:sz w:val="24"/>
          <w:szCs w:val="24"/>
        </w:rPr>
        <w:t xml:space="preserve">o deslocamento seguro e eficiente da equipe; </w:t>
      </w:r>
    </w:p>
    <w:p w14:paraId="290F52B4">
      <w:pPr>
        <w:numPr>
          <w:ilvl w:val="0"/>
          <w:numId w:val="7"/>
        </w:numPr>
        <w:suppressAutoHyphens/>
        <w:spacing w:beforeAutospacing="1" w:afterAutospacing="1" w:line="360" w:lineRule="auto"/>
        <w:jc w:val="both"/>
        <w:rPr>
          <w:sz w:val="24"/>
          <w:szCs w:val="24"/>
        </w:rPr>
      </w:pPr>
      <w:r>
        <w:rPr>
          <w:sz w:val="24"/>
          <w:szCs w:val="24"/>
        </w:rPr>
        <w:t xml:space="preserve">a ampliação da cobertura dos atendimentos domiciliares; </w:t>
      </w:r>
    </w:p>
    <w:p w14:paraId="4BE4810E">
      <w:pPr>
        <w:numPr>
          <w:ilvl w:val="0"/>
          <w:numId w:val="7"/>
        </w:numPr>
        <w:suppressAutoHyphens/>
        <w:spacing w:beforeAutospacing="1" w:afterAutospacing="1" w:line="360" w:lineRule="auto"/>
        <w:jc w:val="both"/>
        <w:rPr>
          <w:sz w:val="24"/>
          <w:szCs w:val="24"/>
        </w:rPr>
      </w:pPr>
      <w:r>
        <w:rPr>
          <w:sz w:val="24"/>
          <w:szCs w:val="24"/>
        </w:rPr>
        <w:t xml:space="preserve">maior agilidade nas respostas às demandas assistenciais; </w:t>
      </w:r>
    </w:p>
    <w:p w14:paraId="1837E2BC">
      <w:pPr>
        <w:numPr>
          <w:ilvl w:val="0"/>
          <w:numId w:val="7"/>
        </w:numPr>
        <w:suppressAutoHyphens/>
        <w:spacing w:beforeAutospacing="1" w:afterAutospacing="1" w:line="360" w:lineRule="auto"/>
        <w:jc w:val="both"/>
        <w:rPr>
          <w:sz w:val="24"/>
          <w:szCs w:val="24"/>
        </w:rPr>
      </w:pPr>
      <w:r>
        <w:rPr>
          <w:sz w:val="24"/>
          <w:szCs w:val="24"/>
        </w:rPr>
        <w:t xml:space="preserve">melhores condições de trabalho aos profissionais envolvidos; </w:t>
      </w:r>
    </w:p>
    <w:p w14:paraId="3302084F">
      <w:pPr>
        <w:numPr>
          <w:ilvl w:val="0"/>
          <w:numId w:val="7"/>
        </w:numPr>
        <w:suppressAutoHyphens/>
        <w:spacing w:beforeAutospacing="1" w:afterAutospacing="1" w:line="360" w:lineRule="auto"/>
        <w:jc w:val="both"/>
        <w:rPr>
          <w:sz w:val="24"/>
          <w:szCs w:val="24"/>
        </w:rPr>
      </w:pPr>
      <w:r>
        <w:rPr>
          <w:sz w:val="24"/>
          <w:szCs w:val="24"/>
        </w:rPr>
        <w:t xml:space="preserve">a garantia da integralidade e humanização do cuidado. </w:t>
      </w:r>
    </w:p>
    <w:p w14:paraId="70059982">
      <w:pPr>
        <w:pStyle w:val="24"/>
        <w:spacing w:line="360" w:lineRule="auto"/>
        <w:jc w:val="both"/>
      </w:pPr>
      <w:r>
        <w:t>A presente aquisição está alinhada às diretrizes do Sistema Único de Saúde (SUS), especialmente no que se refere à descentralização da assistência e à promoção do cuidado no território, contribuindo para a redução de internações hospitalares desnecessárias e para a melhoria da qualidade de vida dos pacientes atendidos.</w:t>
      </w:r>
    </w:p>
    <w:p w14:paraId="21DF1620">
      <w:pPr>
        <w:pStyle w:val="24"/>
        <w:spacing w:line="360" w:lineRule="auto"/>
        <w:jc w:val="both"/>
      </w:pPr>
      <w:r>
        <w:t>Dessa forma, a aquisição do veículo configura-se como medida essencial para assegurar a continuidade, eficiência e qualidade dos serviços prestados pelo Serviço de Atendimento Domiciliar.</w:t>
      </w:r>
    </w:p>
    <w:p w14:paraId="066093E2">
      <w:pPr>
        <w:shd w:val="clear" w:color="auto" w:fill="FFFFFF"/>
        <w:spacing w:line="360" w:lineRule="auto"/>
        <w:jc w:val="both"/>
        <w:rPr>
          <w:b/>
          <w:sz w:val="24"/>
          <w:szCs w:val="24"/>
        </w:rPr>
      </w:pPr>
      <w:r>
        <w:rPr>
          <w:b/>
          <w:sz w:val="24"/>
          <w:szCs w:val="24"/>
        </w:rPr>
        <w:t>3 – PREVISÃO NO PLANO DE CONTRATAÇÕES ANUAL</w:t>
      </w:r>
    </w:p>
    <w:p w14:paraId="4215F8CD">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szCs w:val="24"/>
        </w:rPr>
      </w:pPr>
      <w:r>
        <w:rPr>
          <w:rFonts w:ascii="Times New Roman" w:hAnsi="Times New Roman" w:cs="Times New Roman"/>
          <w:color w:val="auto"/>
          <w:szCs w:val="24"/>
        </w:rPr>
        <w:t>Previsto no Plano de Contratações Anual 2026 - item 2245</w:t>
      </w:r>
    </w:p>
    <w:p w14:paraId="5FF6B70C">
      <w:pPr>
        <w:pStyle w:val="49"/>
        <w:ind w:left="0"/>
        <w:rPr>
          <w:b/>
          <w:color w:val="C00000"/>
          <w:sz w:val="24"/>
          <w:szCs w:val="24"/>
        </w:rPr>
      </w:pPr>
    </w:p>
    <w:p w14:paraId="16D93AC0">
      <w:pPr>
        <w:pStyle w:val="49"/>
        <w:ind w:left="0"/>
        <w:rPr>
          <w:rFonts w:eastAsia="Cambria Math"/>
          <w:b/>
          <w:sz w:val="24"/>
          <w:szCs w:val="24"/>
        </w:rPr>
      </w:pPr>
      <w:r>
        <w:rPr>
          <w:b/>
          <w:sz w:val="24"/>
          <w:szCs w:val="24"/>
        </w:rPr>
        <w:t xml:space="preserve">4 – </w:t>
      </w:r>
      <w:r>
        <w:rPr>
          <w:rFonts w:eastAsia="Cambria Math"/>
          <w:b/>
          <w:sz w:val="24"/>
          <w:szCs w:val="24"/>
        </w:rPr>
        <w:t>ALINHAMENTO ENTRE A AQUISIÇÃO E O PLANO DE EXECUÇÃO</w:t>
      </w:r>
    </w:p>
    <w:p w14:paraId="26AFA71A">
      <w:pPr>
        <w:pStyle w:val="49"/>
        <w:ind w:left="0"/>
        <w:rPr>
          <w:rFonts w:eastAsia="Cambria Math"/>
          <w:b/>
          <w:sz w:val="24"/>
          <w:szCs w:val="24"/>
        </w:rPr>
      </w:pPr>
    </w:p>
    <w:p w14:paraId="3BAA51A2">
      <w:pPr>
        <w:pStyle w:val="69"/>
        <w:spacing w:line="360" w:lineRule="auto"/>
        <w:jc w:val="both"/>
        <w:rPr>
          <w:color w:val="auto"/>
        </w:rPr>
      </w:pPr>
      <w:r>
        <w:rPr>
          <w:rFonts w:ascii="Times New Roman" w:hAnsi="Times New Roman" w:cs="Times New Roman"/>
          <w:color w:val="auto"/>
        </w:rPr>
        <w:t xml:space="preserve">O contratado deve realizar o fornecimento do </w:t>
      </w:r>
      <w:r>
        <w:rPr>
          <w:rFonts w:cs="Times New Roman"/>
          <w:color w:val="auto"/>
        </w:rPr>
        <w:t>veículo</w:t>
      </w:r>
      <w:r>
        <w:rPr>
          <w:rFonts w:ascii="Times New Roman" w:hAnsi="Times New Roman" w:cs="Times New Roman"/>
          <w:color w:val="auto"/>
        </w:rPr>
        <w:t xml:space="preserve"> de acordo com a solicitação do Setor Demandante, e conforme condições, quantidades, exigências e estimativa  estabelecidas no Termo de Referência;</w:t>
      </w:r>
    </w:p>
    <w:p w14:paraId="100A8EBE">
      <w:pPr>
        <w:pStyle w:val="69"/>
        <w:spacing w:line="360" w:lineRule="auto"/>
        <w:jc w:val="both"/>
        <w:rPr>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r>
        <w:rPr>
          <w:rFonts w:cs="Times New Roman"/>
          <w:color w:val="auto"/>
        </w:rPr>
        <w:t>;</w:t>
      </w:r>
    </w:p>
    <w:p w14:paraId="0012CF2B">
      <w:pPr>
        <w:pStyle w:val="69"/>
        <w:spacing w:line="360" w:lineRule="auto"/>
        <w:jc w:val="both"/>
        <w:rPr>
          <w:color w:val="auto"/>
        </w:rPr>
      </w:pPr>
      <w:r>
        <w:rPr>
          <w:rFonts w:ascii="Times New Roman" w:hAnsi="Times New Roman" w:cs="Times New Roman"/>
          <w:color w:val="auto"/>
        </w:rPr>
        <w:t xml:space="preserve">O contratado deverá prestar todos os esclarecimentos técnicos que lhe forem solicitados, relacionados com as características do </w:t>
      </w:r>
      <w:r>
        <w:rPr>
          <w:rFonts w:cs="Times New Roman"/>
          <w:color w:val="auto"/>
        </w:rPr>
        <w:t>veículo;</w:t>
      </w:r>
      <w:r>
        <w:rPr>
          <w:rFonts w:ascii="Times New Roman" w:hAnsi="Times New Roman" w:cs="Times New Roman"/>
          <w:color w:val="auto"/>
        </w:rPr>
        <w:t xml:space="preserve"> </w:t>
      </w:r>
    </w:p>
    <w:p w14:paraId="6CA24450">
      <w:pPr>
        <w:pStyle w:val="69"/>
        <w:spacing w:line="360" w:lineRule="auto"/>
        <w:jc w:val="both"/>
        <w:rPr>
          <w:color w:val="auto"/>
        </w:rPr>
      </w:pPr>
      <w:r>
        <w:rPr>
          <w:rFonts w:ascii="Times New Roman" w:hAnsi="Times New Roman" w:cs="Times New Roman"/>
          <w:color w:val="auto"/>
        </w:rPr>
        <w:t>O contratado deverá arcar com todas as despesas, diretas ou indiretas, sem qualquer ônus para a municipalidade</w:t>
      </w:r>
      <w:r>
        <w:rPr>
          <w:rFonts w:cs="Times New Roman"/>
          <w:color w:val="auto"/>
        </w:rPr>
        <w:t>;</w:t>
      </w:r>
    </w:p>
    <w:p w14:paraId="2823AAE6">
      <w:pPr>
        <w:spacing w:line="360" w:lineRule="auto"/>
        <w:jc w:val="both"/>
        <w:rPr>
          <w:rFonts w:eastAsia="SimSun"/>
          <w:sz w:val="24"/>
          <w:szCs w:val="24"/>
        </w:rPr>
      </w:pPr>
      <w:r>
        <w:rPr>
          <w:rFonts w:eastAsia="SimSun"/>
          <w:sz w:val="24"/>
          <w:szCs w:val="24"/>
        </w:rPr>
        <w:t xml:space="preserve">O contratado deverá assegurar a qualidade e garantia do </w:t>
      </w:r>
      <w:r>
        <w:rPr>
          <w:sz w:val="24"/>
          <w:szCs w:val="24"/>
        </w:rPr>
        <w:t xml:space="preserve">veículo </w:t>
      </w:r>
      <w:r>
        <w:rPr>
          <w:rFonts w:eastAsia="SimSun"/>
          <w:sz w:val="24"/>
          <w:szCs w:val="24"/>
        </w:rPr>
        <w:t xml:space="preserve">entregue em conformidade com o termo de referencia e Estudo Técnico Preliminar </w:t>
      </w:r>
    </w:p>
    <w:p w14:paraId="7B600827">
      <w:pPr>
        <w:spacing w:line="360" w:lineRule="auto"/>
        <w:jc w:val="both"/>
        <w:rPr>
          <w:rFonts w:eastAsia="SimSun"/>
          <w:sz w:val="24"/>
          <w:szCs w:val="24"/>
        </w:rPr>
      </w:pPr>
      <w:r>
        <w:rPr>
          <w:rFonts w:eastAsia="SimSun"/>
          <w:sz w:val="24"/>
          <w:szCs w:val="24"/>
        </w:rPr>
        <w:t xml:space="preserve">O contratado devera reparar, corrigir, reconstruir ou substituir, imediatamente, às suas expensas, no total ou em parte, o </w:t>
      </w:r>
      <w:r>
        <w:rPr>
          <w:sz w:val="24"/>
          <w:szCs w:val="24"/>
        </w:rPr>
        <w:t xml:space="preserve">veículo </w:t>
      </w:r>
      <w:r>
        <w:rPr>
          <w:rFonts w:eastAsia="SimSun"/>
          <w:sz w:val="24"/>
          <w:szCs w:val="24"/>
        </w:rPr>
        <w:t xml:space="preserve">em que se verificar vícios, defeitos ou incorreções , independentemente das penalidades aplicáveis ou cabíveis; </w:t>
      </w:r>
    </w:p>
    <w:p w14:paraId="2E25AEC3">
      <w:pPr>
        <w:spacing w:line="360" w:lineRule="auto"/>
        <w:jc w:val="both"/>
        <w:rPr>
          <w:rFonts w:eastAsia="SimSun"/>
          <w:sz w:val="24"/>
          <w:szCs w:val="24"/>
        </w:rPr>
      </w:pPr>
      <w:r>
        <w:rPr>
          <w:rFonts w:eastAsia="SimSun"/>
          <w:sz w:val="24"/>
          <w:szCs w:val="24"/>
        </w:rPr>
        <w:t xml:space="preserve">O contratado deverá permitir e facilitar à fiscalização ou supervisão da Secretaria Municipal de Saúde, devendo prestar todas as informações e esclarecimentos solicitados; </w:t>
      </w:r>
    </w:p>
    <w:p w14:paraId="76AE4C92">
      <w:pPr>
        <w:spacing w:line="360" w:lineRule="auto"/>
        <w:jc w:val="both"/>
        <w:rPr>
          <w:rFonts w:eastAsia="SimSun"/>
          <w:sz w:val="24"/>
          <w:szCs w:val="24"/>
        </w:rPr>
      </w:pPr>
      <w:r>
        <w:rPr>
          <w:rFonts w:eastAsia="SimSun"/>
          <w:sz w:val="24"/>
          <w:szCs w:val="24"/>
        </w:rPr>
        <w:t xml:space="preserve">O contratado deverá informar à fiscalização ou supervisão da Secretaria Municipal de Saúde, a ocorrência de qualquer fato ou condição que possa atrasar ou impedir a entrega do </w:t>
      </w:r>
      <w:r>
        <w:rPr>
          <w:sz w:val="24"/>
          <w:szCs w:val="24"/>
        </w:rPr>
        <w:t>veículo</w:t>
      </w:r>
      <w:r>
        <w:rPr>
          <w:rFonts w:eastAsia="SimSun"/>
          <w:sz w:val="24"/>
          <w:szCs w:val="24"/>
        </w:rPr>
        <w:t xml:space="preserve">s, no todo ou em parte, indicando as medidas para corrigir a situação; </w:t>
      </w:r>
    </w:p>
    <w:p w14:paraId="17BC8629">
      <w:pPr>
        <w:spacing w:line="360" w:lineRule="auto"/>
        <w:jc w:val="both"/>
        <w:rPr>
          <w:rFonts w:eastAsia="SimSun"/>
          <w:sz w:val="24"/>
          <w:szCs w:val="24"/>
        </w:rPr>
      </w:pPr>
      <w:r>
        <w:rPr>
          <w:rFonts w:eastAsia="SimSun"/>
          <w:sz w:val="24"/>
          <w:szCs w:val="24"/>
        </w:rPr>
        <w:t xml:space="preserve">O contratado deverá responsabilizar-se pelos danos causados diretamente ao Município de Valença ou a terceiros decorrentes de sua culpa ou dolo, referente ao material solicitado, não excluindo ou reduzindo essa responsabilidade à fiscalização ou ao acompanhamento pela Secretaria Municipal de Saúde; </w:t>
      </w:r>
    </w:p>
    <w:p w14:paraId="367395F5">
      <w:pPr>
        <w:spacing w:line="360" w:lineRule="auto"/>
        <w:jc w:val="both"/>
        <w:rPr>
          <w:rFonts w:eastAsia="SimSun"/>
          <w:sz w:val="24"/>
          <w:szCs w:val="24"/>
        </w:rPr>
      </w:pPr>
      <w:r>
        <w:rPr>
          <w:rFonts w:eastAsia="SimSun"/>
          <w:sz w:val="24"/>
          <w:szCs w:val="24"/>
        </w:rPr>
        <w:t xml:space="preserve">O contratado deverá cumprir, dentro dos prazos estabelecidos, as obrigações assumidas; </w:t>
      </w:r>
    </w:p>
    <w:p w14:paraId="0B4CA14A">
      <w:pPr>
        <w:spacing w:line="360" w:lineRule="auto"/>
        <w:jc w:val="both"/>
        <w:rPr>
          <w:rFonts w:eastAsia="SimSun"/>
          <w:sz w:val="24"/>
          <w:szCs w:val="24"/>
        </w:rPr>
      </w:pPr>
      <w:r>
        <w:rPr>
          <w:rFonts w:eastAsia="SimSun"/>
          <w:sz w:val="24"/>
          <w:szCs w:val="24"/>
        </w:rPr>
        <w:t>O contratado deverá manter durante a vigência as obrigações assumidas todas de habilitação exigidas na licitação;</w:t>
      </w:r>
    </w:p>
    <w:p w14:paraId="15D439B9">
      <w:pPr>
        <w:spacing w:line="360" w:lineRule="auto"/>
        <w:jc w:val="both"/>
        <w:rPr>
          <w:rFonts w:eastAsia="SimSun"/>
          <w:sz w:val="24"/>
          <w:szCs w:val="24"/>
        </w:rPr>
      </w:pPr>
      <w:r>
        <w:rPr>
          <w:rFonts w:eastAsia="SimSun"/>
          <w:sz w:val="24"/>
          <w:szCs w:val="24"/>
        </w:rPr>
        <w:t xml:space="preserve">O contratado deverá garantir que o </w:t>
      </w:r>
      <w:r>
        <w:rPr>
          <w:sz w:val="24"/>
          <w:szCs w:val="24"/>
        </w:rPr>
        <w:t>veículo</w:t>
      </w:r>
      <w:r>
        <w:rPr>
          <w:rFonts w:eastAsia="SimSun"/>
          <w:sz w:val="24"/>
          <w:szCs w:val="24"/>
        </w:rPr>
        <w:t xml:space="preserve"> seja de primeira linha e apresente características de qualidade, resistência, durabilidade, desempenho de uso e de aspecto, suficientes e capazes de atender integralmente as demandas e solicitações de uso funcional corrente, respeitando as especificações e determinações constantes do fabricante; </w:t>
      </w:r>
    </w:p>
    <w:p w14:paraId="09B73DA2">
      <w:pPr>
        <w:spacing w:line="360" w:lineRule="auto"/>
        <w:jc w:val="both"/>
        <w:rPr>
          <w:rFonts w:eastAsia="SimSun"/>
          <w:sz w:val="24"/>
          <w:szCs w:val="24"/>
        </w:rPr>
      </w:pPr>
      <w:r>
        <w:rPr>
          <w:rFonts w:eastAsia="SimSun"/>
          <w:sz w:val="24"/>
          <w:szCs w:val="24"/>
        </w:rPr>
        <w:t xml:space="preserve">O contratado deverá garantir que o </w:t>
      </w:r>
      <w:r>
        <w:rPr>
          <w:sz w:val="24"/>
          <w:szCs w:val="24"/>
        </w:rPr>
        <w:t>veículo</w:t>
      </w:r>
      <w:r>
        <w:rPr>
          <w:rFonts w:eastAsia="SimSun"/>
          <w:sz w:val="24"/>
          <w:szCs w:val="24"/>
        </w:rPr>
        <w:t xml:space="preserve"> a ser entregue seja  isento de quaisquer defeitos ou alteração que os modifique em relação às especificações normativas originais de fabricante, independentemente das razões que as produziram. </w:t>
      </w:r>
    </w:p>
    <w:p w14:paraId="55C43802">
      <w:pPr>
        <w:jc w:val="both"/>
        <w:rPr>
          <w:rFonts w:eastAsia="Cambria Math"/>
          <w:b/>
          <w:color w:val="C00000"/>
          <w:szCs w:val="24"/>
        </w:rPr>
      </w:pPr>
    </w:p>
    <w:p w14:paraId="63A57B7E">
      <w:pPr>
        <w:jc w:val="both"/>
        <w:rPr>
          <w:rFonts w:eastAsia="Cambria Math"/>
          <w:b/>
          <w:szCs w:val="24"/>
        </w:rPr>
      </w:pPr>
      <w:r>
        <w:rPr>
          <w:rFonts w:eastAsia="Cambria Math"/>
          <w:b/>
          <w:szCs w:val="24"/>
        </w:rPr>
        <w:t>5 - JUSTIFICATIVA DA ESCOLHA DO TIPO DE SOLUÇÃO A CONTRATAÇÃO</w:t>
      </w:r>
    </w:p>
    <w:p w14:paraId="5E7F77A6">
      <w:pPr>
        <w:spacing w:line="360" w:lineRule="auto"/>
        <w:jc w:val="both"/>
        <w:rPr>
          <w:color w:val="C00000"/>
          <w:sz w:val="24"/>
          <w:szCs w:val="24"/>
        </w:rPr>
      </w:pPr>
    </w:p>
    <w:p w14:paraId="74D46E12">
      <w:pPr>
        <w:pStyle w:val="72"/>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Consiste na contratação de empresa especializada, através Pregão Eletrônico, cujo objeto é a</w:t>
      </w:r>
      <w:r>
        <w:rPr>
          <w:rFonts w:ascii="Times New Roman" w:hAnsi="Times New Roman" w:eastAsia="SimSun" w:cs="Times New Roman"/>
          <w:sz w:val="24"/>
          <w:szCs w:val="24"/>
        </w:rPr>
        <w:t xml:space="preserve">quisição  de veículo para transporte da equipe multiprofissional do Serviço de Atendimento Domiciliar </w:t>
      </w:r>
    </w:p>
    <w:p w14:paraId="148F9C75">
      <w:pPr>
        <w:spacing w:line="360" w:lineRule="auto"/>
        <w:rPr>
          <w:rFonts w:eastAsia="Cambria Math"/>
          <w:b/>
          <w:color w:val="C00000"/>
          <w:szCs w:val="24"/>
        </w:rPr>
      </w:pPr>
    </w:p>
    <w:p w14:paraId="6471E7FA">
      <w:pPr>
        <w:spacing w:line="360" w:lineRule="auto"/>
        <w:rPr>
          <w:b/>
          <w:sz w:val="24"/>
          <w:szCs w:val="24"/>
        </w:rPr>
      </w:pPr>
      <w:r>
        <w:rPr>
          <w:rFonts w:eastAsia="Cambria Math"/>
          <w:b/>
          <w:szCs w:val="24"/>
        </w:rPr>
        <w:t xml:space="preserve">6 - </w:t>
      </w:r>
      <w:r>
        <w:rPr>
          <w:b/>
          <w:sz w:val="24"/>
          <w:szCs w:val="24"/>
        </w:rPr>
        <w:t>ESTIMATIVA DAS QUANTIDADES</w:t>
      </w:r>
    </w:p>
    <w:p w14:paraId="00DD59DC">
      <w:pPr>
        <w:spacing w:line="360" w:lineRule="auto"/>
        <w:jc w:val="both"/>
        <w:rPr>
          <w:sz w:val="24"/>
          <w:szCs w:val="24"/>
        </w:rPr>
      </w:pPr>
      <w:r>
        <w:rPr>
          <w:sz w:val="24"/>
          <w:szCs w:val="24"/>
        </w:rPr>
        <w:t>Entendem-se necessária a contratação do seguinte item e quantitativo:</w:t>
      </w:r>
    </w:p>
    <w:p w14:paraId="46CCFFF3">
      <w:pPr>
        <w:spacing w:line="360" w:lineRule="auto"/>
        <w:jc w:val="both"/>
        <w:rPr>
          <w:sz w:val="24"/>
          <w:szCs w:val="24"/>
        </w:rPr>
      </w:pPr>
    </w:p>
    <w:tbl>
      <w:tblPr>
        <w:tblStyle w:val="10"/>
        <w:tblW w:w="11199" w:type="dxa"/>
        <w:tblInd w:w="-1139" w:type="dxa"/>
        <w:tblLayout w:type="fixed"/>
        <w:tblCellMar>
          <w:top w:w="0" w:type="dxa"/>
          <w:left w:w="10" w:type="dxa"/>
          <w:bottom w:w="0" w:type="dxa"/>
          <w:right w:w="10" w:type="dxa"/>
        </w:tblCellMar>
      </w:tblPr>
      <w:tblGrid>
        <w:gridCol w:w="850"/>
        <w:gridCol w:w="5671"/>
        <w:gridCol w:w="992"/>
        <w:gridCol w:w="992"/>
        <w:gridCol w:w="1134"/>
        <w:gridCol w:w="1560"/>
      </w:tblGrid>
      <w:tr w14:paraId="7AF2AEDC">
        <w:tblPrEx>
          <w:tblCellMar>
            <w:top w:w="0" w:type="dxa"/>
            <w:left w:w="10" w:type="dxa"/>
            <w:bottom w:w="0" w:type="dxa"/>
            <w:right w:w="10" w:type="dxa"/>
          </w:tblCellMar>
        </w:tblPrEx>
        <w:trPr>
          <w:trHeight w:val="370"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183DB8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Item</w:t>
            </w:r>
          </w:p>
        </w:tc>
        <w:tc>
          <w:tcPr>
            <w:tcW w:w="56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A88BB1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Descrição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A7DD89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Qtde.</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8EAE91A">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Catmat</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6FD78E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Valor Unit.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51392C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Valor total</w:t>
            </w:r>
          </w:p>
        </w:tc>
      </w:tr>
      <w:tr w14:paraId="6D826190">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B2B3491">
            <w:pPr>
              <w:jc w:val="center"/>
              <w:textAlignment w:val="bottom"/>
              <w:rPr>
                <w:lang w:eastAsia="hi-IN"/>
              </w:rPr>
            </w:pPr>
            <w:r>
              <w:rPr>
                <w:lang w:eastAsia="hi-IN"/>
              </w:rPr>
              <w:t>1</w:t>
            </w:r>
          </w:p>
        </w:tc>
        <w:tc>
          <w:tcPr>
            <w:tcW w:w="56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38C8840">
            <w:pPr>
              <w:jc w:val="both"/>
              <w:rPr>
                <w:b/>
                <w:bCs/>
                <w:sz w:val="16"/>
                <w:szCs w:val="16"/>
                <w:lang w:eastAsia="hi-IN"/>
              </w:rPr>
            </w:pPr>
            <w:r>
              <w:t xml:space="preserve">Veículo 0 (zero) km, com capacidade mínima de 05 (cinco) passageiros incluindo o motorista, ano modelo 2026, 04 (quatro) portas, na cor branca sólida no padrão de fábrica e de linha de produção, alarme antifurto, alto falantes dianteiros, apoio para cabeça dianteiro com regulagem de altura, ar-condicionado, câmbio manual com no mínimo 05 marchas, rádio AM/FM, travas elétricas, cinto de segurança dianteiro de 3 pontos, computador de bordo (com no mínimo informações do veículo, viagem e consumo), direção elétrica, estepe, motorização mínima 1,0 flex, dianteiro, com no mínimo 71CV (gasolina)/ 75CV (etanol), vidros elétricos no mínimo dianteiro, capacidade de porta malas de no mínimo 300 litros, distância mínima entre os eixos  de 2521MM, equipado com todos os acessórios exigidos pelo CONTRAN e legislações vigente: macaco, chave de rodas, triangulo etc. Todos os equipamentos devem ser de fábrica, tanto o veículo quanto demais acessórios devem apresentar garantia mínima de um ano a contar da entrega do mesmo.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153D677">
            <w:pPr>
              <w:jc w:val="center"/>
              <w:textAlignment w:val="bottom"/>
              <w:rPr>
                <w:lang w:eastAsia="hi-IN"/>
              </w:rPr>
            </w:pPr>
            <w:r>
              <w:rPr>
                <w:lang w:eastAsia="hi-IN"/>
              </w:rPr>
              <w:t>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8577D8E">
            <w:pPr>
              <w:jc w:val="center"/>
              <w:textAlignment w:val="bottom"/>
              <w:rPr>
                <w:rFonts w:eastAsia="SimSun"/>
                <w:b/>
                <w:bCs/>
                <w:lang w:eastAsia="zh-CN" w:bidi="ar"/>
              </w:rPr>
            </w:pPr>
            <w:r>
              <w:rPr>
                <w:rFonts w:eastAsia="SimSun"/>
                <w:lang w:eastAsia="zh-CN" w:bidi="ar"/>
              </w:rPr>
              <w:t>628952</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F7880C2">
            <w:pPr>
              <w:jc w:val="center"/>
              <w:textAlignment w:val="bottom"/>
              <w:rPr>
                <w:rFonts w:eastAsia="SimSun"/>
                <w:lang w:eastAsia="zh-CN" w:bidi="ar"/>
              </w:rPr>
            </w:pPr>
            <w:r>
              <w:rPr>
                <w:rFonts w:eastAsia="SimSun"/>
                <w:lang w:eastAsia="zh-CN" w:bidi="ar"/>
              </w:rPr>
              <w:t>97.000,00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CF079F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eastAsia="SimSun" w:cs="Times New Roman"/>
                <w:color w:val="auto"/>
                <w:sz w:val="20"/>
                <w:szCs w:val="20"/>
                <w:lang w:eastAsia="zh-CN" w:bidi="ar"/>
              </w:rPr>
            </w:pPr>
          </w:p>
          <w:p w14:paraId="308359A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eastAsia="SimSun" w:cs="Times New Roman"/>
                <w:color w:val="auto"/>
                <w:sz w:val="20"/>
                <w:szCs w:val="20"/>
                <w:lang w:eastAsia="zh-CN" w:bidi="ar"/>
              </w:rPr>
            </w:pPr>
          </w:p>
          <w:p w14:paraId="3A128D85">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eastAsia="SimSun" w:cs="Times New Roman"/>
                <w:color w:val="auto"/>
                <w:sz w:val="20"/>
                <w:szCs w:val="20"/>
                <w:lang w:eastAsia="zh-CN" w:bidi="ar"/>
              </w:rPr>
            </w:pPr>
          </w:p>
          <w:p w14:paraId="74CBEFD8">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eastAsia="SimSun" w:cs="Times New Roman"/>
                <w:color w:val="auto"/>
                <w:sz w:val="20"/>
                <w:szCs w:val="20"/>
                <w:lang w:eastAsia="zh-CN" w:bidi="ar"/>
              </w:rPr>
            </w:pPr>
          </w:p>
          <w:p w14:paraId="455F18D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ind w:left="0" w:firstLine="0"/>
              <w:rPr>
                <w:rFonts w:ascii="Times New Roman" w:hAnsi="Times New Roman" w:eastAsia="SimSun" w:cs="Times New Roman"/>
                <w:color w:val="auto"/>
                <w:sz w:val="20"/>
                <w:szCs w:val="20"/>
                <w:lang w:eastAsia="zh-CN" w:bidi="ar"/>
              </w:rPr>
            </w:pPr>
          </w:p>
          <w:p w14:paraId="6C48D76E">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eastAsia="SimSun" w:cs="Times New Roman"/>
                <w:color w:val="auto"/>
                <w:sz w:val="20"/>
                <w:szCs w:val="20"/>
                <w:lang w:eastAsia="zh-CN" w:bidi="ar"/>
              </w:rPr>
            </w:pPr>
          </w:p>
          <w:p w14:paraId="417D834F">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eastAsia="SimSun" w:cs="Times New Roman"/>
                <w:color w:val="auto"/>
                <w:sz w:val="20"/>
                <w:szCs w:val="20"/>
                <w:lang w:eastAsia="zh-CN" w:bidi="ar"/>
              </w:rPr>
            </w:pPr>
          </w:p>
          <w:p w14:paraId="7021FC3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eastAsia="SimSun" w:cs="Times New Roman"/>
                <w:color w:val="auto"/>
                <w:sz w:val="20"/>
                <w:szCs w:val="20"/>
                <w:lang w:eastAsia="zh-CN" w:bidi="ar"/>
              </w:rPr>
            </w:pPr>
          </w:p>
          <w:p w14:paraId="07233A5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eastAsia="SimSun" w:cs="Times New Roman"/>
                <w:color w:val="auto"/>
                <w:sz w:val="20"/>
                <w:szCs w:val="20"/>
                <w:lang w:eastAsia="zh-CN" w:bidi="ar"/>
              </w:rPr>
              <w:t>97.000,00</w:t>
            </w:r>
          </w:p>
        </w:tc>
      </w:tr>
    </w:tbl>
    <w:p w14:paraId="3DE5CD78">
      <w:pPr>
        <w:jc w:val="center"/>
        <w:rPr>
          <w:color w:val="C00000"/>
          <w:sz w:val="24"/>
          <w:szCs w:val="24"/>
        </w:rPr>
      </w:pPr>
    </w:p>
    <w:p w14:paraId="34084DAF">
      <w:pPr>
        <w:jc w:val="both"/>
        <w:rPr>
          <w:rFonts w:eastAsia="Cambria Math"/>
          <w:b/>
          <w:color w:val="C00000"/>
          <w:szCs w:val="24"/>
        </w:rPr>
      </w:pPr>
    </w:p>
    <w:p w14:paraId="3D990B4A">
      <w:pPr>
        <w:jc w:val="both"/>
        <w:rPr>
          <w:rFonts w:eastAsia="Cambria Math"/>
          <w:b/>
          <w:sz w:val="24"/>
          <w:szCs w:val="24"/>
        </w:rPr>
      </w:pPr>
      <w:r>
        <w:rPr>
          <w:rFonts w:eastAsia="Cambria Math"/>
          <w:b/>
          <w:sz w:val="24"/>
          <w:szCs w:val="24"/>
        </w:rPr>
        <w:t>7 - ESTIMATIVAS DE PREÇOS OU PREÇOS REFERENCIAIS</w:t>
      </w:r>
    </w:p>
    <w:p w14:paraId="3352F21F">
      <w:pPr>
        <w:jc w:val="both"/>
        <w:rPr>
          <w:rFonts w:eastAsia="Cambria Math"/>
          <w:sz w:val="24"/>
          <w:szCs w:val="24"/>
        </w:rPr>
      </w:pPr>
    </w:p>
    <w:p w14:paraId="101F59BE">
      <w:pPr>
        <w:spacing w:line="360" w:lineRule="auto"/>
        <w:jc w:val="both"/>
        <w:rPr>
          <w:sz w:val="24"/>
          <w:szCs w:val="24"/>
        </w:rPr>
      </w:pPr>
      <w:r>
        <w:rPr>
          <w:sz w:val="24"/>
          <w:szCs w:val="24"/>
        </w:rPr>
        <w:t>A estimativa de preços da contratação será compatível com valores praticados no mercado considerados os preços constantes de bancos de dados públicos e as quantidades a serem contratadas, observada a potencial economia de escala e as peculiaridades do local de execução do objeto</w:t>
      </w:r>
    </w:p>
    <w:p w14:paraId="1DC296A2">
      <w:pPr>
        <w:spacing w:line="360" w:lineRule="auto"/>
        <w:jc w:val="both"/>
        <w:rPr>
          <w:sz w:val="24"/>
          <w:szCs w:val="24"/>
        </w:rPr>
      </w:pPr>
      <w:r>
        <w:rPr>
          <w:sz w:val="24"/>
          <w:szCs w:val="24"/>
        </w:rPr>
        <w:t>O custo estimado total da contratação pelo menor preço é de R$ 97.000,00 (noventa e sete mil reais), conforme custos avaliados através de pesquisa de preço realizada.</w:t>
      </w:r>
    </w:p>
    <w:p w14:paraId="4D1978B4">
      <w:pPr>
        <w:spacing w:line="360" w:lineRule="auto"/>
        <w:jc w:val="both"/>
        <w:rPr>
          <w:color w:val="C00000"/>
          <w:sz w:val="24"/>
          <w:szCs w:val="24"/>
        </w:rPr>
      </w:pPr>
    </w:p>
    <w:p w14:paraId="65385F8A">
      <w:pPr>
        <w:jc w:val="both"/>
        <w:rPr>
          <w:rFonts w:eastAsia="Cambria Math"/>
          <w:b/>
          <w:szCs w:val="24"/>
        </w:rPr>
      </w:pPr>
      <w:r>
        <w:rPr>
          <w:rFonts w:eastAsia="Cambria Math"/>
          <w:b/>
          <w:szCs w:val="24"/>
        </w:rPr>
        <w:t>8 - DESCRIÇÃO DA NECESSIDADE COMO UM TODO</w:t>
      </w:r>
    </w:p>
    <w:p w14:paraId="3EB61C48">
      <w:pPr>
        <w:jc w:val="both"/>
        <w:rPr>
          <w:rFonts w:eastAsia="Cambria Math"/>
          <w:b/>
          <w:color w:val="C00000"/>
          <w:szCs w:val="24"/>
        </w:rPr>
      </w:pPr>
    </w:p>
    <w:p w14:paraId="6B67C641">
      <w:pPr>
        <w:pStyle w:val="24"/>
        <w:spacing w:line="360" w:lineRule="auto"/>
        <w:jc w:val="both"/>
      </w:pPr>
      <w:r>
        <w:t>A aquisição de veículo destinado ao transporte da equipe multiprofissional vinculada ao Serviço de Atendimento Domiciliar (SAD), com o objetivo de viabilizar a prestação contínua, eficiente e segura da assistência à saúde no âmbito domiciliar.</w:t>
      </w:r>
    </w:p>
    <w:p w14:paraId="072D8C20">
      <w:pPr>
        <w:pStyle w:val="24"/>
        <w:spacing w:line="360" w:lineRule="auto"/>
        <w:jc w:val="both"/>
      </w:pPr>
      <w:r>
        <w:t>O SAD é responsável pelo acompanhamento de pacientes que necessitam de cuidados regulares em suas residências, incluindo atendimentos de natureza clínica, terapêutica e de reabilitação, realizados por equipe composta por profissionais como médicos, enfermeiros, técnicos de enfermagem, fisioterapeutas, entre outros. Tais atendimentos exigem deslocamentos frequentes até diferentes localidades, muitas vezes em áreas urbanas e rurais, com acesso variado e, por vezes, limitado.</w:t>
      </w:r>
    </w:p>
    <w:p w14:paraId="7965594D">
      <w:pPr>
        <w:pStyle w:val="24"/>
        <w:spacing w:line="360" w:lineRule="auto"/>
        <w:jc w:val="both"/>
      </w:pPr>
      <w:r>
        <w:t>Atualmente, verifica-se insuficiência e/ou inadequação dos meios de transporte disponíveis, o que compromete a logística dos atendimentos, podendo ocasionar atrasos, redução da cobertura assistencial e prejuízo à qualidade do serviço prestado. A ausência de veículo apropriado impacta diretamente na capacidade operacional da equipe, dificultando o cumprimento das rotas diárias e a ampliação do número de pacientes assistidos.</w:t>
      </w:r>
    </w:p>
    <w:p w14:paraId="401FC939">
      <w:pPr>
        <w:spacing w:line="360" w:lineRule="auto"/>
        <w:jc w:val="both"/>
        <w:rPr>
          <w:rFonts w:eastAsia="Cambria Math"/>
          <w:b/>
          <w:sz w:val="24"/>
          <w:szCs w:val="24"/>
        </w:rPr>
      </w:pPr>
      <w:r>
        <w:rPr>
          <w:rFonts w:eastAsia="Cambria Math"/>
          <w:b/>
          <w:sz w:val="24"/>
          <w:szCs w:val="24"/>
        </w:rPr>
        <w:t>9 - JUSTIFICATIVA PARA PARCELAMENTO</w:t>
      </w:r>
    </w:p>
    <w:p w14:paraId="1E775910">
      <w:pPr>
        <w:spacing w:line="360" w:lineRule="auto"/>
        <w:jc w:val="both"/>
        <w:rPr>
          <w:rFonts w:eastAsia="SimSun"/>
          <w:sz w:val="24"/>
          <w:szCs w:val="24"/>
        </w:rPr>
      </w:pPr>
      <w:r>
        <w:rPr>
          <w:rFonts w:eastAsia="SimSun"/>
          <w:sz w:val="24"/>
          <w:szCs w:val="24"/>
        </w:rPr>
        <w:t>Não há</w:t>
      </w:r>
    </w:p>
    <w:p w14:paraId="63A08DFB">
      <w:pPr>
        <w:spacing w:line="360" w:lineRule="auto"/>
        <w:jc w:val="both"/>
        <w:rPr>
          <w:rFonts w:eastAsia="SimSun"/>
          <w:sz w:val="24"/>
          <w:szCs w:val="24"/>
        </w:rPr>
      </w:pPr>
    </w:p>
    <w:p w14:paraId="2173C7DA">
      <w:pPr>
        <w:shd w:val="clear" w:color="auto" w:fill="FFFFFF"/>
        <w:spacing w:line="360" w:lineRule="auto"/>
        <w:jc w:val="both"/>
        <w:rPr>
          <w:b/>
          <w:sz w:val="24"/>
          <w:szCs w:val="24"/>
        </w:rPr>
      </w:pPr>
      <w:r>
        <w:rPr>
          <w:b/>
          <w:sz w:val="24"/>
          <w:szCs w:val="24"/>
        </w:rPr>
        <w:t>10 -  CONTRATAÇÕES CORRELATAS/INTERDEPENDENTES</w:t>
      </w:r>
    </w:p>
    <w:p w14:paraId="71C6BEB9">
      <w:pPr>
        <w:shd w:val="clear" w:color="auto" w:fill="FFFFFF"/>
        <w:spacing w:line="360" w:lineRule="auto"/>
        <w:jc w:val="both"/>
        <w:rPr>
          <w:sz w:val="24"/>
          <w:szCs w:val="24"/>
        </w:rPr>
      </w:pPr>
      <w:r>
        <w:rPr>
          <w:sz w:val="24"/>
          <w:szCs w:val="24"/>
        </w:rPr>
        <w:t>Não existe.</w:t>
      </w:r>
    </w:p>
    <w:p w14:paraId="708FB8D0">
      <w:pPr>
        <w:shd w:val="clear" w:color="auto" w:fill="FFFFFF"/>
        <w:spacing w:line="360" w:lineRule="auto"/>
        <w:jc w:val="both"/>
        <w:rPr>
          <w:sz w:val="24"/>
          <w:szCs w:val="24"/>
        </w:rPr>
      </w:pPr>
    </w:p>
    <w:p w14:paraId="54B1FC45">
      <w:pPr>
        <w:shd w:val="clear" w:color="auto" w:fill="FFFFFF"/>
        <w:spacing w:line="360" w:lineRule="auto"/>
        <w:jc w:val="both"/>
        <w:rPr>
          <w:b/>
          <w:sz w:val="24"/>
          <w:szCs w:val="24"/>
        </w:rPr>
      </w:pPr>
      <w:r>
        <w:rPr>
          <w:b/>
          <w:sz w:val="24"/>
          <w:szCs w:val="24"/>
        </w:rPr>
        <w:t>11 – IMPACTOS AMBIENTAIS</w:t>
      </w:r>
    </w:p>
    <w:p w14:paraId="4B27D4E2">
      <w:pPr>
        <w:shd w:val="clear" w:color="auto" w:fill="FFFFFF"/>
        <w:spacing w:line="360" w:lineRule="auto"/>
        <w:rPr>
          <w:sz w:val="24"/>
          <w:szCs w:val="24"/>
        </w:rPr>
      </w:pPr>
      <w:r>
        <w:rPr>
          <w:sz w:val="24"/>
          <w:szCs w:val="24"/>
        </w:rPr>
        <w:t>Não há.</w:t>
      </w:r>
    </w:p>
    <w:p w14:paraId="521EB891">
      <w:pPr>
        <w:shd w:val="clear" w:color="auto" w:fill="FFFFFF"/>
        <w:spacing w:line="360" w:lineRule="auto"/>
        <w:rPr>
          <w:color w:val="C00000"/>
          <w:sz w:val="24"/>
          <w:szCs w:val="24"/>
        </w:rPr>
      </w:pPr>
    </w:p>
    <w:p w14:paraId="7F9B840A">
      <w:pPr>
        <w:jc w:val="both"/>
        <w:rPr>
          <w:rFonts w:eastAsia="Cambria Math"/>
          <w:b/>
          <w:sz w:val="24"/>
          <w:szCs w:val="24"/>
        </w:rPr>
      </w:pPr>
      <w:r>
        <w:rPr>
          <w:rFonts w:eastAsia="Cambria Math"/>
          <w:b/>
          <w:sz w:val="24"/>
          <w:szCs w:val="24"/>
        </w:rPr>
        <w:t>12 -RESULTADOS PRETENDIDOS</w:t>
      </w:r>
    </w:p>
    <w:p w14:paraId="0C256D05">
      <w:pPr>
        <w:jc w:val="both"/>
        <w:rPr>
          <w:rFonts w:eastAsia="Cambria Math"/>
          <w:b/>
          <w:sz w:val="24"/>
          <w:szCs w:val="24"/>
        </w:rPr>
      </w:pPr>
    </w:p>
    <w:p w14:paraId="6D63D9D8">
      <w:pPr>
        <w:pStyle w:val="24"/>
        <w:spacing w:line="360" w:lineRule="auto"/>
        <w:jc w:val="both"/>
      </w:pPr>
      <w:r>
        <w:t>Viabilizar a prestação contínua, eficiente e segura da assistência à saúde no âmbito domiciliar.</w:t>
      </w:r>
    </w:p>
    <w:p w14:paraId="2AA92C54">
      <w:pPr>
        <w:widowControl w:val="0"/>
        <w:numPr>
          <w:ilvl w:val="0"/>
          <w:numId w:val="9"/>
        </w:numPr>
        <w:shd w:val="clear" w:color="auto" w:fill="FFFFFF"/>
        <w:suppressAutoHyphens/>
        <w:spacing w:line="360" w:lineRule="auto"/>
        <w:jc w:val="both"/>
        <w:rPr>
          <w:b/>
          <w:sz w:val="24"/>
          <w:szCs w:val="24"/>
        </w:rPr>
      </w:pPr>
      <w:r>
        <w:rPr>
          <w:b/>
          <w:sz w:val="24"/>
          <w:szCs w:val="24"/>
        </w:rPr>
        <w:t>RESPONSÁVEL</w:t>
      </w:r>
    </w:p>
    <w:p w14:paraId="37166BE8">
      <w:pPr>
        <w:shd w:val="clear" w:color="auto" w:fill="FFFFFF"/>
        <w:spacing w:line="360" w:lineRule="auto"/>
        <w:jc w:val="both"/>
        <w:rPr>
          <w:b/>
          <w:sz w:val="24"/>
          <w:szCs w:val="24"/>
        </w:rPr>
      </w:pPr>
    </w:p>
    <w:p w14:paraId="72367181">
      <w:pPr>
        <w:shd w:val="clear" w:color="auto" w:fill="FFFFFF"/>
        <w:spacing w:line="360" w:lineRule="auto"/>
        <w:jc w:val="both"/>
        <w:rPr>
          <w:b/>
          <w:sz w:val="24"/>
          <w:szCs w:val="24"/>
        </w:rPr>
      </w:pPr>
    </w:p>
    <w:p w14:paraId="2DAD53FB">
      <w:pPr>
        <w:shd w:val="clear" w:color="auto" w:fill="FFFFFF"/>
        <w:spacing w:line="360" w:lineRule="auto"/>
        <w:jc w:val="both"/>
        <w:rPr>
          <w:b/>
          <w:sz w:val="24"/>
          <w:szCs w:val="24"/>
        </w:rPr>
      </w:pPr>
    </w:p>
    <w:p w14:paraId="6D7B903C">
      <w:pPr>
        <w:shd w:val="clear" w:color="auto" w:fill="FFFFFF"/>
        <w:spacing w:line="360" w:lineRule="auto"/>
        <w:jc w:val="center"/>
        <w:rPr>
          <w:sz w:val="24"/>
          <w:szCs w:val="24"/>
        </w:rPr>
      </w:pPr>
      <w:r>
        <w:rPr>
          <w:sz w:val="24"/>
          <w:szCs w:val="24"/>
        </w:rPr>
        <w:t>Valença, 09 de abril de 2026</w:t>
      </w:r>
    </w:p>
    <w:p w14:paraId="385935A6">
      <w:pPr>
        <w:shd w:val="clear" w:color="auto" w:fill="FFFFFF"/>
        <w:spacing w:line="360" w:lineRule="auto"/>
        <w:jc w:val="center"/>
        <w:rPr>
          <w:sz w:val="24"/>
          <w:szCs w:val="24"/>
        </w:rPr>
      </w:pPr>
    </w:p>
    <w:p w14:paraId="516BF1DA">
      <w:pPr>
        <w:spacing w:line="360" w:lineRule="auto"/>
        <w:contextualSpacing/>
        <w:jc w:val="center"/>
        <w:rPr>
          <w:sz w:val="24"/>
          <w:szCs w:val="24"/>
        </w:rPr>
      </w:pPr>
      <w:r>
        <w:rPr>
          <w:sz w:val="24"/>
          <w:szCs w:val="24"/>
        </w:rPr>
        <w:t>Flavine Mara Chaves</w:t>
      </w:r>
    </w:p>
    <w:p w14:paraId="352A1C27">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eastAsia="Times New Roman" w:cs="Times New Roman"/>
          <w:bCs/>
          <w:color w:val="auto"/>
          <w:szCs w:val="24"/>
        </w:rPr>
      </w:pPr>
      <w:r>
        <w:rPr>
          <w:rFonts w:ascii="Times New Roman" w:hAnsi="Times New Roman" w:eastAsia="Times New Roman" w:cs="Times New Roman"/>
          <w:b/>
          <w:bCs/>
          <w:color w:val="auto"/>
          <w:szCs w:val="24"/>
        </w:rPr>
        <w:t xml:space="preserve">Matrícula: </w:t>
      </w:r>
      <w:r>
        <w:rPr>
          <w:rFonts w:ascii="Times New Roman" w:hAnsi="Times New Roman" w:eastAsia="Times New Roman" w:cs="Times New Roman"/>
          <w:bCs/>
          <w:color w:val="auto"/>
          <w:szCs w:val="24"/>
        </w:rPr>
        <w:t>143.812</w:t>
      </w:r>
    </w:p>
    <w:p w14:paraId="7F045672">
      <w:pPr>
        <w:pStyle w:val="19"/>
        <w:tabs>
          <w:tab w:val="left" w:pos="555"/>
          <w:tab w:val="left" w:pos="840"/>
          <w:tab w:val="left" w:pos="1140"/>
          <w:tab w:val="left" w:pos="1395"/>
          <w:tab w:val="left" w:pos="1650"/>
          <w:tab w:val="left" w:pos="1965"/>
          <w:tab w:val="left" w:pos="2220"/>
          <w:tab w:val="left" w:leader="underscore" w:pos="7336"/>
        </w:tabs>
        <w:jc w:val="center"/>
        <w:rPr>
          <w:rFonts w:ascii="Times New Roman" w:hAnsi="Times New Roman" w:eastAsia="Times New Roman" w:cs="Times New Roman"/>
        </w:rPr>
      </w:pPr>
    </w:p>
    <w:p w14:paraId="11CCE307">
      <w:pPr>
        <w:spacing w:before="288" w:beforeLines="120" w:after="288" w:afterLines="120" w:line="288" w:lineRule="auto"/>
        <w:contextualSpacing/>
        <w:rPr>
          <w:rFonts w:eastAsia="MS Mincho" w:asciiTheme="minorHAnsi" w:hAnsiTheme="minorHAnsi" w:cstheme="minorHAnsi"/>
          <w:b/>
          <w:sz w:val="24"/>
          <w:szCs w:val="24"/>
        </w:rPr>
      </w:pPr>
    </w:p>
    <w:p w14:paraId="6D3FB39D">
      <w:pPr>
        <w:spacing w:before="288" w:beforeLines="120" w:after="288" w:afterLines="120" w:line="288" w:lineRule="auto"/>
        <w:contextualSpacing/>
        <w:rPr>
          <w:rFonts w:eastAsia="MS Mincho" w:asciiTheme="minorHAnsi" w:hAnsiTheme="minorHAnsi" w:cstheme="minorHAnsi"/>
          <w:b/>
          <w:sz w:val="24"/>
          <w:szCs w:val="24"/>
        </w:rPr>
      </w:pPr>
    </w:p>
    <w:p w14:paraId="20449032">
      <w:pPr>
        <w:spacing w:before="288" w:beforeLines="120" w:after="288" w:afterLines="120" w:line="288" w:lineRule="auto"/>
        <w:contextualSpacing/>
        <w:rPr>
          <w:rFonts w:eastAsia="MS Mincho" w:asciiTheme="minorHAnsi" w:hAnsiTheme="minorHAnsi" w:cstheme="minorHAnsi"/>
          <w:b/>
          <w:sz w:val="24"/>
          <w:szCs w:val="24"/>
        </w:rPr>
      </w:pPr>
    </w:p>
    <w:p w14:paraId="3E88B982">
      <w:pPr>
        <w:spacing w:before="288" w:beforeLines="120" w:after="288" w:afterLines="120" w:line="288" w:lineRule="auto"/>
        <w:contextualSpacing/>
        <w:rPr>
          <w:rFonts w:eastAsia="MS Mincho" w:asciiTheme="minorHAnsi" w:hAnsiTheme="minorHAnsi" w:cstheme="minorHAnsi"/>
          <w:b/>
          <w:sz w:val="24"/>
          <w:szCs w:val="24"/>
        </w:rPr>
      </w:pPr>
    </w:p>
    <w:p w14:paraId="4DE17903">
      <w:pPr>
        <w:spacing w:before="288" w:beforeLines="120" w:after="288" w:afterLines="120" w:line="288" w:lineRule="auto"/>
        <w:contextualSpacing/>
        <w:rPr>
          <w:rFonts w:eastAsia="MS Mincho" w:asciiTheme="minorHAnsi" w:hAnsiTheme="minorHAnsi" w:cstheme="minorHAnsi"/>
          <w:b/>
          <w:sz w:val="24"/>
          <w:szCs w:val="24"/>
        </w:rPr>
      </w:pPr>
    </w:p>
    <w:p w14:paraId="26DA508A">
      <w:pPr>
        <w:spacing w:before="288" w:beforeLines="120" w:after="288" w:afterLines="120" w:line="288" w:lineRule="auto"/>
        <w:contextualSpacing/>
        <w:rPr>
          <w:rFonts w:eastAsia="MS Mincho" w:asciiTheme="minorHAnsi" w:hAnsiTheme="minorHAnsi" w:cstheme="minorHAnsi"/>
          <w:b/>
          <w:sz w:val="24"/>
          <w:szCs w:val="24"/>
        </w:rPr>
      </w:pPr>
    </w:p>
    <w:p w14:paraId="4A39254D">
      <w:pPr>
        <w:spacing w:before="288" w:beforeLines="120" w:after="288" w:afterLines="120" w:line="288" w:lineRule="auto"/>
        <w:contextualSpacing/>
        <w:rPr>
          <w:rFonts w:eastAsia="MS Mincho" w:asciiTheme="minorHAnsi" w:hAnsiTheme="minorHAnsi" w:cstheme="minorHAnsi"/>
          <w:b/>
          <w:sz w:val="24"/>
          <w:szCs w:val="24"/>
        </w:rPr>
      </w:pPr>
    </w:p>
    <w:p w14:paraId="568F5A09">
      <w:pPr>
        <w:spacing w:before="288" w:beforeLines="120" w:after="288" w:afterLines="120" w:line="288" w:lineRule="auto"/>
        <w:contextualSpacing/>
        <w:rPr>
          <w:rFonts w:eastAsia="MS Mincho" w:asciiTheme="minorHAnsi" w:hAnsiTheme="minorHAnsi" w:cstheme="minorHAnsi"/>
          <w:b/>
          <w:sz w:val="24"/>
          <w:szCs w:val="24"/>
        </w:rPr>
      </w:pPr>
    </w:p>
    <w:p w14:paraId="34B4FFAD">
      <w:pPr>
        <w:spacing w:before="288" w:beforeLines="120" w:after="288" w:afterLines="120" w:line="288" w:lineRule="auto"/>
        <w:contextualSpacing/>
        <w:rPr>
          <w:rFonts w:eastAsia="MS Mincho" w:asciiTheme="minorHAnsi" w:hAnsiTheme="minorHAnsi" w:cstheme="minorHAnsi"/>
          <w:b/>
          <w:sz w:val="24"/>
          <w:szCs w:val="24"/>
        </w:rPr>
      </w:pPr>
    </w:p>
    <w:p w14:paraId="66071CFD">
      <w:pPr>
        <w:spacing w:before="288" w:beforeLines="120" w:after="288" w:afterLines="120" w:line="288" w:lineRule="auto"/>
        <w:contextualSpacing/>
        <w:rPr>
          <w:rFonts w:eastAsia="MS Mincho" w:asciiTheme="minorHAnsi" w:hAnsiTheme="minorHAnsi" w:cstheme="minorHAnsi"/>
          <w:b/>
          <w:sz w:val="24"/>
          <w:szCs w:val="24"/>
        </w:rPr>
      </w:pPr>
    </w:p>
    <w:p w14:paraId="5AA0F7BC">
      <w:pPr>
        <w:spacing w:before="288" w:beforeLines="120" w:after="288" w:afterLines="120" w:line="288" w:lineRule="auto"/>
        <w:contextualSpacing/>
        <w:rPr>
          <w:rFonts w:eastAsia="MS Mincho" w:asciiTheme="minorHAnsi" w:hAnsiTheme="minorHAnsi" w:cstheme="minorHAnsi"/>
          <w:b/>
          <w:sz w:val="24"/>
          <w:szCs w:val="24"/>
        </w:rPr>
      </w:pPr>
    </w:p>
    <w:p w14:paraId="36F48AEC">
      <w:pPr>
        <w:spacing w:before="288" w:beforeLines="120" w:after="288" w:afterLines="120" w:line="288" w:lineRule="auto"/>
        <w:contextualSpacing/>
        <w:rPr>
          <w:rFonts w:eastAsia="MS Mincho" w:asciiTheme="minorHAnsi" w:hAnsiTheme="minorHAnsi" w:cstheme="minorHAnsi"/>
          <w:b/>
          <w:sz w:val="24"/>
          <w:szCs w:val="24"/>
        </w:rPr>
      </w:pPr>
    </w:p>
    <w:p w14:paraId="5116B8FD">
      <w:pPr>
        <w:spacing w:before="288" w:beforeLines="120" w:after="288" w:afterLines="120" w:line="288" w:lineRule="auto"/>
        <w:contextualSpacing/>
        <w:rPr>
          <w:rFonts w:eastAsia="MS Mincho" w:asciiTheme="minorHAnsi" w:hAnsiTheme="minorHAnsi" w:cstheme="minorHAnsi"/>
          <w:b/>
          <w:sz w:val="24"/>
          <w:szCs w:val="24"/>
        </w:rPr>
      </w:pPr>
    </w:p>
    <w:p w14:paraId="5D2DED60">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III </w:t>
      </w:r>
    </w:p>
    <w:p w14:paraId="672AD52C">
      <w:pPr>
        <w:spacing w:before="288" w:beforeLines="120" w:after="288" w:afterLines="120" w:line="288" w:lineRule="auto"/>
        <w:contextualSpacing/>
        <w:jc w:val="center"/>
        <w:rPr>
          <w:rFonts w:eastAsia="MS Mincho"/>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MODELO DE PROPOSTA</w:t>
      </w: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72"/>
              <w:widowControl w:val="0"/>
              <w:rPr>
                <w:b/>
                <w:i/>
                <w:iCs/>
                <w:sz w:val="20"/>
                <w:szCs w:val="20"/>
              </w:rPr>
            </w:pPr>
          </w:p>
          <w:p w14:paraId="7ECDD7FB">
            <w:pPr>
              <w:pStyle w:val="72"/>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72"/>
              <w:widowControl w:val="0"/>
              <w:rPr>
                <w:b/>
                <w:sz w:val="20"/>
                <w:szCs w:val="20"/>
              </w:rPr>
            </w:pPr>
            <w:r>
              <w:rPr>
                <w:b/>
                <w:sz w:val="20"/>
                <w:szCs w:val="20"/>
              </w:rPr>
              <w:t>Pregão Eletrônico  N° _____/____</w:t>
            </w:r>
          </w:p>
        </w:tc>
        <w:tc>
          <w:tcPr>
            <w:tcW w:w="2505" w:type="dxa"/>
            <w:gridSpan w:val="2"/>
            <w:shd w:val="clear" w:color="auto" w:fill="auto"/>
            <w:tcMar>
              <w:top w:w="100" w:type="dxa"/>
              <w:left w:w="100" w:type="dxa"/>
              <w:bottom w:w="100" w:type="dxa"/>
              <w:right w:w="100" w:type="dxa"/>
            </w:tcMar>
          </w:tcPr>
          <w:p w14:paraId="6DAD1C29">
            <w:pPr>
              <w:pStyle w:val="72"/>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72"/>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72"/>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72"/>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72"/>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72"/>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72"/>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72"/>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72"/>
              <w:widowControl w:val="0"/>
              <w:jc w:val="center"/>
              <w:rPr>
                <w:b/>
                <w:i/>
                <w:iCs/>
                <w:sz w:val="20"/>
                <w:szCs w:val="20"/>
              </w:rPr>
            </w:pPr>
            <w:r>
              <w:rPr>
                <w:b/>
                <w:i/>
                <w:iCs/>
                <w:sz w:val="20"/>
                <w:szCs w:val="20"/>
              </w:rPr>
              <w:t>LOTE/</w:t>
            </w:r>
          </w:p>
          <w:p w14:paraId="6AF88088">
            <w:pPr>
              <w:pStyle w:val="72"/>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72"/>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72"/>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72"/>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72"/>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72"/>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72"/>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72"/>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72"/>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72"/>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72"/>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72"/>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72"/>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72"/>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72"/>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72"/>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72"/>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72"/>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72"/>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72"/>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72"/>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72"/>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72"/>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72"/>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72"/>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72"/>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72"/>
              <w:widowControl w:val="0"/>
              <w:rPr>
                <w:b/>
                <w:i/>
                <w:iCs/>
                <w:sz w:val="20"/>
                <w:szCs w:val="20"/>
              </w:rPr>
            </w:pPr>
            <w:r>
              <w:rPr>
                <w:b/>
                <w:i/>
                <w:iCs/>
                <w:sz w:val="20"/>
                <w:szCs w:val="20"/>
              </w:rPr>
              <w:t>Declaramos inteira submissão aos termos desta proposta, do Edital e à Legislação em vigor.</w:t>
            </w:r>
          </w:p>
          <w:p w14:paraId="41149FF4">
            <w:pPr>
              <w:pStyle w:val="72"/>
              <w:widowControl w:val="0"/>
              <w:rPr>
                <w:b/>
                <w:i/>
                <w:iCs/>
                <w:sz w:val="20"/>
                <w:szCs w:val="20"/>
              </w:rPr>
            </w:pPr>
            <w:r>
              <w:rPr>
                <w:b/>
                <w:i/>
                <w:iCs/>
                <w:sz w:val="20"/>
                <w:szCs w:val="20"/>
              </w:rPr>
              <w:t>Valença, _______ de __________________ de ________.</w:t>
            </w:r>
          </w:p>
          <w:p w14:paraId="4F493978">
            <w:pPr>
              <w:pStyle w:val="72"/>
              <w:widowControl w:val="0"/>
              <w:rPr>
                <w:b/>
                <w:i/>
                <w:iCs/>
                <w:sz w:val="20"/>
                <w:szCs w:val="20"/>
              </w:rPr>
            </w:pPr>
            <w:r>
              <w:rPr>
                <w:b/>
                <w:i/>
                <w:iCs/>
                <w:sz w:val="20"/>
                <w:szCs w:val="20"/>
              </w:rPr>
              <w:t>_____________________________________</w:t>
            </w:r>
          </w:p>
          <w:p w14:paraId="472E84AA">
            <w:pPr>
              <w:pStyle w:val="72"/>
              <w:widowControl w:val="0"/>
              <w:rPr>
                <w:b/>
                <w:i/>
                <w:iCs/>
                <w:sz w:val="20"/>
                <w:szCs w:val="20"/>
              </w:rPr>
            </w:pPr>
            <w:r>
              <w:rPr>
                <w:b/>
                <w:i/>
                <w:iCs/>
                <w:sz w:val="20"/>
                <w:szCs w:val="20"/>
              </w:rPr>
              <w:t>Representante legal (nome por extenso)</w:t>
            </w:r>
          </w:p>
          <w:p w14:paraId="5EA43FF4">
            <w:pPr>
              <w:pStyle w:val="72"/>
              <w:widowControl w:val="0"/>
              <w:rPr>
                <w:b/>
                <w:i/>
                <w:iCs/>
                <w:sz w:val="20"/>
                <w:szCs w:val="20"/>
              </w:rPr>
            </w:pPr>
            <w:r>
              <w:rPr>
                <w:b/>
                <w:i/>
                <w:iCs/>
                <w:sz w:val="20"/>
                <w:szCs w:val="20"/>
              </w:rPr>
              <w:t>Cargo:</w:t>
            </w:r>
          </w:p>
          <w:p w14:paraId="5E365772">
            <w:pPr>
              <w:pStyle w:val="72"/>
              <w:widowControl w:val="0"/>
              <w:rPr>
                <w:b/>
                <w:i/>
                <w:iCs/>
                <w:sz w:val="20"/>
                <w:szCs w:val="20"/>
              </w:rPr>
            </w:pPr>
            <w:r>
              <w:rPr>
                <w:b/>
                <w:i/>
                <w:iCs/>
                <w:sz w:val="20"/>
                <w:szCs w:val="20"/>
              </w:rPr>
              <w:t>CPF:</w:t>
            </w:r>
          </w:p>
        </w:tc>
      </w:tr>
    </w:tbl>
    <w:p w14:paraId="660534E7">
      <w:pPr>
        <w:pStyle w:val="72"/>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72"/>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72"/>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72"/>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72"/>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72"/>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72"/>
        <w:jc w:val="both"/>
        <w:rPr>
          <w:b/>
          <w:sz w:val="20"/>
          <w:szCs w:val="20"/>
        </w:rPr>
      </w:pPr>
    </w:p>
    <w:p w14:paraId="1596DBA4">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p>
    <w:p w14:paraId="1E156216">
      <w:pPr>
        <w:spacing w:before="288" w:beforeLines="120" w:after="288" w:afterLines="120" w:line="288" w:lineRule="auto"/>
        <w:contextualSpacing/>
        <w:rPr>
          <w:rFonts w:eastAsia="MS Mincho"/>
          <w:b/>
          <w:sz w:val="24"/>
          <w:szCs w:val="24"/>
        </w:rPr>
      </w:pP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77EF0B47">
      <w:pPr>
        <w:pStyle w:val="72"/>
        <w:jc w:val="both"/>
        <w:rPr>
          <w:rFonts w:ascii="Times New Roman" w:hAnsi="Times New Roman" w:cs="Times New Roman"/>
          <w:b/>
          <w:sz w:val="24"/>
          <w:szCs w:val="24"/>
        </w:rPr>
      </w:pPr>
    </w:p>
    <w:p w14:paraId="578E27C8">
      <w:pPr>
        <w:pStyle w:val="72"/>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31"/>
        <w:spacing w:line="288" w:lineRule="auto"/>
        <w:ind w:firstLine="0"/>
        <w:contextualSpacing/>
        <w:rPr>
          <w:rFonts w:ascii="Times New Roman" w:hAnsi="Times New Roman"/>
          <w:szCs w:val="24"/>
        </w:rPr>
      </w:pPr>
    </w:p>
    <w:p w14:paraId="02E9384A">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36"/>
        <w:spacing w:after="0" w:line="288" w:lineRule="auto"/>
        <w:ind w:left="0"/>
        <w:contextualSpacing/>
        <w:jc w:val="both"/>
        <w:rPr>
          <w:rFonts w:ascii="Times New Roman" w:hAnsi="Times New Roman" w:cs="Times New Roman"/>
          <w:sz w:val="24"/>
          <w:szCs w:val="24"/>
        </w:rPr>
      </w:pPr>
      <w:bookmarkStart w:id="36"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6"/>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37"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37"/>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38" w:name="_Hlk154232471"/>
      <w:r>
        <w:rPr>
          <w:sz w:val="24"/>
          <w:szCs w:val="24"/>
        </w:rPr>
        <w:t>3.1.1 Não será causa de inabilitação do licitante a anotação de distribuição de processo de recuperação judicial ou de pedido de homologação de recuperação extrajudicial.</w:t>
      </w:r>
    </w:p>
    <w:p w14:paraId="3D228AA4">
      <w:pPr>
        <w:spacing w:line="288" w:lineRule="auto"/>
        <w:jc w:val="both"/>
        <w:rPr>
          <w:sz w:val="24"/>
          <w:szCs w:val="24"/>
        </w:rPr>
      </w:pPr>
    </w:p>
    <w:bookmarkEnd w:id="38"/>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71B5D52D">
        <w:tblPrEx>
          <w:tblCellMar>
            <w:top w:w="0" w:type="dxa"/>
            <w:left w:w="108" w:type="dxa"/>
            <w:bottom w:w="0" w:type="dxa"/>
            <w:right w:w="108" w:type="dxa"/>
          </w:tblCellMar>
        </w:tblPrEx>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9D1F3A0">
        <w:tblPrEx>
          <w:tblCellMar>
            <w:top w:w="0" w:type="dxa"/>
            <w:left w:w="108" w:type="dxa"/>
            <w:bottom w:w="0" w:type="dxa"/>
            <w:right w:w="108" w:type="dxa"/>
          </w:tblCellMar>
        </w:tblPrEx>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5B36403">
        <w:tblPrEx>
          <w:tblCellMar>
            <w:top w:w="0" w:type="dxa"/>
            <w:left w:w="108" w:type="dxa"/>
            <w:bottom w:w="0" w:type="dxa"/>
            <w:right w:w="108" w:type="dxa"/>
          </w:tblCellMar>
        </w:tblPrEx>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18"/>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18"/>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18"/>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18"/>
        <w:spacing w:before="0" w:beforeAutospacing="0" w:after="0" w:afterAutospacing="0" w:line="288" w:lineRule="auto"/>
        <w:ind w:right="565"/>
        <w:jc w:val="both"/>
        <w:rPr>
          <w:rStyle w:val="123"/>
          <w:rFonts w:ascii="Times New Roman" w:hAnsi="Times New Roman" w:cs="Times New Roman"/>
          <w:b/>
          <w:bCs/>
          <w:i w:val="0"/>
          <w:iCs w:val="0"/>
          <w:color w:val="000000" w:themeColor="text1"/>
          <w:sz w:val="24"/>
          <w:szCs w:val="24"/>
          <w14:textFill>
            <w14:solidFill>
              <w14:schemeClr w14:val="tx1"/>
            </w14:solidFill>
          </w14:textFill>
        </w:rPr>
      </w:pPr>
      <w:r>
        <w:rPr>
          <w:rStyle w:val="117"/>
          <w:rFonts w:ascii="Times New Roman" w:hAnsi="Times New Roman" w:cs="Times New Roman"/>
          <w:b/>
          <w:bCs/>
          <w:color w:val="000000" w:themeColor="text1"/>
          <w:sz w:val="24"/>
          <w:szCs w:val="24"/>
          <w14:textFill>
            <w14:solidFill>
              <w14:schemeClr w14:val="tx1"/>
            </w14:solidFill>
          </w14:textFill>
        </w:rPr>
        <w:t>NOTA EXPLICATIVA:</w:t>
      </w:r>
      <w:r>
        <w:rPr>
          <w:rStyle w:val="123"/>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18"/>
        <w:spacing w:before="0" w:beforeAutospacing="0" w:after="0" w:afterAutospacing="0" w:line="288" w:lineRule="auto"/>
        <w:ind w:right="565"/>
        <w:jc w:val="both"/>
        <w:rPr>
          <w:rStyle w:val="123"/>
          <w:rFonts w:ascii="Times New Roman" w:hAnsi="Times New Roman" w:cs="Times New Roman"/>
          <w:i w:val="0"/>
          <w:iCs w:val="0"/>
          <w:color w:val="000000" w:themeColor="text1"/>
          <w:sz w:val="24"/>
          <w:szCs w:val="24"/>
          <w14:textFill>
            <w14:solidFill>
              <w14:schemeClr w14:val="tx1"/>
            </w14:solidFill>
          </w14:textFill>
        </w:rPr>
      </w:pPr>
      <w:r>
        <w:rPr>
          <w:rStyle w:val="123"/>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18"/>
        <w:spacing w:before="0" w:beforeAutospacing="0" w:after="0" w:afterAutospacing="0" w:line="288" w:lineRule="auto"/>
        <w:ind w:right="565"/>
        <w:jc w:val="both"/>
        <w:rPr>
          <w:rStyle w:val="123"/>
          <w:rFonts w:ascii="Times New Roman" w:hAnsi="Times New Roman" w:cs="Times New Roman"/>
          <w:i w:val="0"/>
          <w:iCs w:val="0"/>
          <w:color w:val="000000" w:themeColor="text1"/>
          <w:sz w:val="24"/>
          <w:szCs w:val="24"/>
          <w14:textFill>
            <w14:solidFill>
              <w14:schemeClr w14:val="tx1"/>
            </w14:solidFill>
          </w14:textFill>
        </w:rPr>
      </w:pPr>
    </w:p>
    <w:p w14:paraId="779924DA">
      <w:pPr>
        <w:pStyle w:val="118"/>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18"/>
        <w:spacing w:before="0" w:beforeAutospacing="0" w:after="0" w:afterAutospacing="0" w:line="288" w:lineRule="auto"/>
        <w:ind w:left="567" w:right="565"/>
        <w:jc w:val="both"/>
        <w:rPr>
          <w:lang w:eastAsia="en-US"/>
        </w:rPr>
      </w:pPr>
    </w:p>
    <w:p w14:paraId="126E1A42">
      <w:pPr>
        <w:pStyle w:val="118"/>
        <w:spacing w:before="0" w:beforeAutospacing="0" w:after="0" w:afterAutospacing="0" w:line="288" w:lineRule="auto"/>
        <w:contextualSpacing/>
        <w:jc w:val="both"/>
        <w:rPr>
          <w:iCs/>
          <w:color w:val="FF0000"/>
        </w:rPr>
      </w:pPr>
    </w:p>
    <w:p w14:paraId="24F201E3">
      <w:pPr>
        <w:pStyle w:val="118"/>
        <w:spacing w:before="0" w:beforeAutospacing="0" w:after="0" w:afterAutospacing="0" w:line="288" w:lineRule="auto"/>
        <w:contextualSpacing/>
        <w:jc w:val="both"/>
        <w:rPr>
          <w:b/>
          <w:bCs/>
        </w:rPr>
      </w:pPr>
      <w:r>
        <w:rPr>
          <w:b/>
          <w:bCs/>
        </w:rPr>
        <w:t>4. HABILITAÇÃO TÉCNICA</w:t>
      </w:r>
    </w:p>
    <w:p w14:paraId="733F25DF">
      <w:pPr>
        <w:pStyle w:val="118"/>
        <w:spacing w:before="0" w:beforeAutospacing="0" w:after="0" w:afterAutospacing="0" w:line="288" w:lineRule="auto"/>
        <w:contextualSpacing/>
        <w:jc w:val="both"/>
        <w:rPr>
          <w:b/>
          <w:bCs/>
        </w:rPr>
      </w:pPr>
    </w:p>
    <w:p w14:paraId="589CD5FE">
      <w:pPr>
        <w:pStyle w:val="124"/>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39" w:name="_Hlk154233180"/>
      <w:r>
        <w:rPr>
          <w:rFonts w:ascii="Times New Roman" w:hAnsi="Times New Roman" w:cs="Times New Roman"/>
          <w:color w:val="000000" w:themeColor="text1"/>
          <w:sz w:val="24"/>
          <w14:textFill>
            <w14:solidFill>
              <w14:schemeClr w14:val="tx1"/>
            </w14:solidFill>
          </w14:textFill>
        </w:rPr>
        <w:t xml:space="preserve">4.1 </w:t>
      </w:r>
      <w:bookmarkEnd w:id="39"/>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197BC096">
      <w:pPr>
        <w:spacing w:line="288" w:lineRule="auto"/>
        <w:contextualSpacing/>
        <w:jc w:val="center"/>
        <w:rPr>
          <w:b/>
          <w:bCs/>
          <w:sz w:val="24"/>
          <w:szCs w:val="24"/>
        </w:rPr>
      </w:pPr>
    </w:p>
    <w:p w14:paraId="5B123708">
      <w:pPr>
        <w:spacing w:line="368" w:lineRule="auto"/>
        <w:ind w:right="-446" w:hanging="284"/>
        <w:rPr>
          <w:b/>
          <w:sz w:val="24"/>
          <w:szCs w:val="24"/>
          <w:u w:val="single"/>
        </w:rPr>
      </w:pPr>
      <w:r>
        <w:rPr>
          <w:b/>
          <w:sz w:val="24"/>
          <w:szCs w:val="24"/>
        </w:rPr>
        <w:t xml:space="preserve">                                                          </w:t>
      </w:r>
      <w:r>
        <w:rPr>
          <w:b/>
          <w:sz w:val="24"/>
          <w:szCs w:val="24"/>
          <w:highlight w:val="yellow"/>
          <w:u w:val="single"/>
        </w:rPr>
        <w:t>PLANILHA DE CUSTO</w:t>
      </w:r>
    </w:p>
    <w:p w14:paraId="2CFD2C66">
      <w:pPr>
        <w:spacing w:line="368" w:lineRule="auto"/>
        <w:ind w:right="-446" w:hanging="284"/>
        <w:rPr>
          <w:b/>
          <w:sz w:val="24"/>
          <w:szCs w:val="24"/>
          <w:u w:val="single"/>
        </w:rPr>
      </w:pPr>
    </w:p>
    <w:p w14:paraId="368F6456">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O presente relatório é resultado da pesquisa de preços a seguir discriminada, em cumprimento ao determinado na Lei n ̊ 14.133/2021</w:t>
      </w:r>
    </w:p>
    <w:p w14:paraId="3608F5E2">
      <w:pPr>
        <w:pStyle w:val="72"/>
        <w:jc w:val="center"/>
        <w:rPr>
          <w:rFonts w:ascii="Times New Roman" w:hAnsi="Times New Roman" w:eastAsia="SimSun" w:cs="Times New Roman"/>
          <w:sz w:val="24"/>
          <w:szCs w:val="24"/>
        </w:rPr>
      </w:pPr>
    </w:p>
    <w:p w14:paraId="10CDB340">
      <w:pPr>
        <w:pStyle w:val="72"/>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OBJETO: </w:t>
      </w:r>
      <w:r>
        <w:rPr>
          <w:rFonts w:ascii="Times New Roman" w:hAnsi="Times New Roman" w:cs="Times New Roman"/>
          <w:sz w:val="24"/>
          <w:szCs w:val="24"/>
        </w:rPr>
        <w:t xml:space="preserve">Aquisição de veículo para transporte da equipe multiprofissional do Serviço de Atendimento Domiciliar conforme estabelece seus critérios na portaria </w:t>
      </w:r>
      <w:r>
        <w:rPr>
          <w:rFonts w:ascii="Times New Roman" w:hAnsi="Times New Roman" w:cs="Times New Roman"/>
          <w:color w:val="1F1F1F"/>
          <w:sz w:val="24"/>
          <w:szCs w:val="24"/>
          <w:shd w:val="clear" w:color="auto" w:fill="FFFFFF"/>
        </w:rPr>
        <w:t>nº 825, de 25 de abril de 2016</w:t>
      </w:r>
      <w:r>
        <w:rPr>
          <w:rFonts w:ascii="Times New Roman" w:hAnsi="Times New Roman" w:cs="Times New Roman"/>
          <w:b/>
          <w:bCs/>
          <w:sz w:val="24"/>
          <w:szCs w:val="24"/>
        </w:rPr>
        <w:t>,</w:t>
      </w:r>
      <w:r>
        <w:rPr>
          <w:rFonts w:ascii="Times New Roman" w:hAnsi="Times New Roman" w:cs="Times New Roman"/>
          <w:sz w:val="24"/>
          <w:szCs w:val="24"/>
        </w:rPr>
        <w:t xml:space="preserve"> destinada ao fortalecimento das ações e ao cuidado com o paciente. Proposta </w:t>
      </w:r>
      <w:r>
        <w:rPr>
          <w:rFonts w:ascii="Times New Roman" w:hAnsi="Times New Roman" w:cs="Times New Roman"/>
          <w:sz w:val="24"/>
          <w:szCs w:val="24"/>
          <w:shd w:val="clear" w:color="auto" w:fill="FFFFFF"/>
        </w:rPr>
        <w:t>de Equipamento nº 11934211000125002</w:t>
      </w:r>
      <w:r>
        <w:rPr>
          <w:rFonts w:ascii="Times New Roman" w:hAnsi="Times New Roman" w:cs="Times New Roman"/>
          <w:color w:val="1F1F1F"/>
          <w:sz w:val="24"/>
          <w:szCs w:val="24"/>
          <w:shd w:val="clear" w:color="auto" w:fill="FFFFFF"/>
        </w:rPr>
        <w:t>.</w:t>
      </w:r>
    </w:p>
    <w:p w14:paraId="3E62510D">
      <w:pPr>
        <w:shd w:val="clear" w:color="auto" w:fill="FFFFFF"/>
        <w:spacing w:line="15" w:lineRule="atLeast"/>
        <w:rPr>
          <w:rFonts w:eastAsia="SimSun"/>
          <w:sz w:val="24"/>
          <w:szCs w:val="24"/>
        </w:rPr>
      </w:pPr>
      <w:r>
        <w:rPr>
          <w:rFonts w:eastAsia="SimSun"/>
          <w:sz w:val="24"/>
          <w:szCs w:val="24"/>
        </w:rPr>
        <w:t>PERÍODO DE REALIZAÇÃO DA PESQUISA: 11/02/2026</w:t>
      </w:r>
    </w:p>
    <w:p w14:paraId="780E8668">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METODOLOGIA APLICADA: o valor de referência foi aferido por meio de:</w:t>
      </w:r>
    </w:p>
    <w:p w14:paraId="5CCC3F68">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  ) Média ( X  ) Mediana (  ) Menor Preço </w:t>
      </w:r>
    </w:p>
    <w:p w14:paraId="22A950E6">
      <w:pPr>
        <w:pStyle w:val="72"/>
        <w:jc w:val="both"/>
        <w:rPr>
          <w:rFonts w:ascii="Times New Roman" w:hAnsi="Times New Roman" w:eastAsia="SimSun" w:cs="Times New Roman"/>
          <w:sz w:val="24"/>
          <w:szCs w:val="24"/>
        </w:rPr>
      </w:pPr>
    </w:p>
    <w:p w14:paraId="54915268">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FONTES DE PESQUISA DE PREÇOS:</w:t>
      </w:r>
    </w:p>
    <w:p w14:paraId="66134B3A">
      <w:pPr>
        <w:pStyle w:val="72"/>
        <w:jc w:val="both"/>
        <w:rPr>
          <w:rFonts w:ascii="Times New Roman" w:hAnsi="Times New Roman" w:eastAsia="SimSun" w:cs="Times New Roman"/>
          <w:sz w:val="24"/>
          <w:szCs w:val="24"/>
        </w:rPr>
      </w:pPr>
    </w:p>
    <w:p w14:paraId="0D39DC0C">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 COMPRAS.GOV;</w:t>
      </w:r>
    </w:p>
    <w:p w14:paraId="7FBB6204">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 INTERNET;</w:t>
      </w:r>
    </w:p>
    <w:p w14:paraId="52AC335B">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 PNCP;</w:t>
      </w:r>
    </w:p>
    <w:p w14:paraId="35720D00">
      <w:pPr>
        <w:pStyle w:val="72"/>
        <w:jc w:val="both"/>
        <w:rPr>
          <w:rFonts w:eastAsia="SimSun"/>
          <w:color w:val="C00000"/>
          <w:sz w:val="24"/>
          <w:szCs w:val="24"/>
        </w:rPr>
      </w:pPr>
    </w:p>
    <w:p w14:paraId="7369947C">
      <w:pPr>
        <w:pStyle w:val="72"/>
        <w:jc w:val="both"/>
        <w:rPr>
          <w:rFonts w:eastAsia="SimSun"/>
          <w:color w:val="C00000"/>
          <w:sz w:val="24"/>
          <w:szCs w:val="24"/>
        </w:rPr>
      </w:pPr>
    </w:p>
    <w:tbl>
      <w:tblPr>
        <w:tblStyle w:val="10"/>
        <w:tblW w:w="11341" w:type="dxa"/>
        <w:tblInd w:w="-1279" w:type="dxa"/>
        <w:tblLayout w:type="fixed"/>
        <w:tblCellMar>
          <w:top w:w="0" w:type="dxa"/>
          <w:left w:w="108" w:type="dxa"/>
          <w:bottom w:w="0" w:type="dxa"/>
          <w:right w:w="108" w:type="dxa"/>
        </w:tblCellMar>
      </w:tblPr>
      <w:tblGrid>
        <w:gridCol w:w="709"/>
        <w:gridCol w:w="709"/>
        <w:gridCol w:w="3969"/>
        <w:gridCol w:w="851"/>
        <w:gridCol w:w="850"/>
        <w:gridCol w:w="1276"/>
        <w:gridCol w:w="850"/>
        <w:gridCol w:w="1134"/>
        <w:gridCol w:w="993"/>
      </w:tblGrid>
      <w:tr w14:paraId="0BF778DC">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47250EF">
            <w:pPr>
              <w:jc w:val="center"/>
              <w:textAlignment w:val="bottom"/>
              <w:rPr>
                <w:rFonts w:eastAsia="SimSun"/>
                <w:color w:val="000000"/>
                <w:lang w:eastAsia="zh-CN" w:bidi="ar"/>
              </w:rPr>
            </w:pPr>
            <w:r>
              <w:rPr>
                <w:rFonts w:eastAsia="SimSun"/>
                <w:color w:val="000000"/>
                <w:lang w:eastAsia="zh-CN" w:bidi="ar"/>
              </w:rPr>
              <w:t>Item</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097AC47">
            <w:pPr>
              <w:jc w:val="center"/>
              <w:textAlignment w:val="bottom"/>
              <w:rPr>
                <w:rFonts w:eastAsia="SimSun"/>
                <w:color w:val="000000"/>
                <w:lang w:eastAsia="zh-CN" w:bidi="ar"/>
              </w:rPr>
            </w:pPr>
            <w:r>
              <w:rPr>
                <w:rFonts w:eastAsia="SimSun"/>
                <w:color w:val="000000"/>
                <w:lang w:eastAsia="zh-CN" w:bidi="ar"/>
              </w:rPr>
              <w:t>Quant</w:t>
            </w:r>
          </w:p>
        </w:tc>
        <w:tc>
          <w:tcPr>
            <w:tcW w:w="396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5B8F642">
            <w:pPr>
              <w:jc w:val="center"/>
              <w:textAlignment w:val="bottom"/>
              <w:rPr>
                <w:rFonts w:eastAsia="SimSun"/>
                <w:color w:val="000000"/>
                <w:lang w:eastAsia="zh-CN" w:bidi="ar"/>
              </w:rPr>
            </w:pPr>
            <w:r>
              <w:rPr>
                <w:rFonts w:eastAsia="SimSun"/>
                <w:color w:val="000000"/>
                <w:lang w:eastAsia="zh-CN" w:bidi="ar"/>
              </w:rPr>
              <w:t>Especificação</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3CC3358">
            <w:pPr>
              <w:jc w:val="center"/>
              <w:textAlignment w:val="bottom"/>
              <w:rPr>
                <w:rFonts w:eastAsia="SimSun"/>
                <w:b/>
                <w:bCs/>
                <w:color w:val="000000"/>
                <w:lang w:eastAsia="zh-CN" w:bidi="ar"/>
              </w:rPr>
            </w:pPr>
            <w:r>
              <w:rPr>
                <w:rFonts w:eastAsia="SimSun"/>
                <w:b/>
                <w:bCs/>
                <w:color w:val="000000"/>
                <w:lang w:eastAsia="zh-CN" w:bidi="ar"/>
              </w:rPr>
              <w:t>Catmat</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DA8A10">
            <w:pPr>
              <w:jc w:val="center"/>
              <w:textAlignment w:val="bottom"/>
              <w:rPr>
                <w:rFonts w:eastAsia="SimSun"/>
                <w:b/>
                <w:bCs/>
                <w:color w:val="000000"/>
                <w:lang w:eastAsia="zh-CN" w:bidi="ar"/>
              </w:rPr>
            </w:pPr>
          </w:p>
          <w:p w14:paraId="69EF7282">
            <w:pPr>
              <w:jc w:val="center"/>
              <w:textAlignment w:val="bottom"/>
              <w:rPr>
                <w:rFonts w:eastAsia="SimSun"/>
                <w:b/>
                <w:bCs/>
                <w:color w:val="000000"/>
                <w:lang w:eastAsia="zh-CN" w:bidi="ar"/>
              </w:rPr>
            </w:pPr>
            <w:r>
              <w:rPr>
                <w:rFonts w:eastAsia="SimSun"/>
                <w:b/>
                <w:bCs/>
                <w:color w:val="000000"/>
                <w:lang w:eastAsia="zh-CN" w:bidi="ar"/>
              </w:rPr>
              <w:t>Compras Gov</w:t>
            </w:r>
          </w:p>
          <w:p w14:paraId="2208D83E">
            <w:pPr>
              <w:jc w:val="center"/>
              <w:textAlignment w:val="bottom"/>
              <w:rPr>
                <w:rFonts w:eastAsia="SimSun"/>
                <w:b/>
                <w:bCs/>
                <w:color w:val="000000"/>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85C9565">
            <w:pPr>
              <w:jc w:val="center"/>
              <w:textAlignment w:val="bottom"/>
              <w:rPr>
                <w:rFonts w:eastAsia="SimSun"/>
                <w:b/>
                <w:bCs/>
                <w:color w:val="000000"/>
                <w:lang w:eastAsia="zh-CN" w:bidi="ar"/>
              </w:rPr>
            </w:pPr>
            <w:r>
              <w:rPr>
                <w:rFonts w:eastAsia="SimSun"/>
                <w:b/>
                <w:bCs/>
                <w:color w:val="000000"/>
                <w:lang w:eastAsia="zh-CN" w:bidi="ar"/>
              </w:rPr>
              <w:t>Internet</w:t>
            </w:r>
          </w:p>
          <w:p w14:paraId="22DC197D">
            <w:pPr>
              <w:jc w:val="center"/>
              <w:textAlignment w:val="bottom"/>
              <w:rPr>
                <w:rFonts w:eastAsia="SimSun"/>
                <w:b/>
                <w:bCs/>
                <w:color w:val="000000"/>
                <w:lang w:eastAsia="zh-CN" w:bidi="ar"/>
              </w:rPr>
            </w:pPr>
            <w:r>
              <w:rPr>
                <w:rFonts w:eastAsia="SimSun"/>
                <w:b/>
                <w:bCs/>
                <w:color w:val="000000"/>
                <w:lang w:eastAsia="zh-CN" w:bidi="ar"/>
              </w:rPr>
              <w:t>(média)</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0CA830F">
            <w:pPr>
              <w:jc w:val="center"/>
              <w:textAlignment w:val="bottom"/>
              <w:rPr>
                <w:rFonts w:eastAsia="SimSun"/>
                <w:b/>
                <w:bCs/>
                <w:color w:val="000000"/>
                <w:lang w:eastAsia="zh-CN" w:bidi="ar"/>
              </w:rPr>
            </w:pPr>
            <w:r>
              <w:rPr>
                <w:rFonts w:eastAsia="SimSun"/>
                <w:b/>
                <w:bCs/>
                <w:color w:val="000000"/>
                <w:lang w:eastAsia="zh-CN" w:bidi="ar"/>
              </w:rPr>
              <w:t>PNCP</w:t>
            </w:r>
          </w:p>
          <w:p w14:paraId="2412CE90">
            <w:pPr>
              <w:jc w:val="center"/>
              <w:textAlignment w:val="bottom"/>
              <w:rPr>
                <w:rFonts w:eastAsia="SimSun"/>
                <w:b/>
                <w:bCs/>
                <w:color w:val="000000"/>
                <w:lang w:eastAsia="zh-CN" w:bidi="ar"/>
              </w:rPr>
            </w:pP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08B2463">
            <w:pPr>
              <w:jc w:val="center"/>
              <w:textAlignment w:val="bottom"/>
              <w:rPr>
                <w:rFonts w:eastAsia="SimSun"/>
                <w:b/>
                <w:bCs/>
                <w:color w:val="000000"/>
                <w:lang w:eastAsia="zh-CN" w:bidi="ar"/>
              </w:rPr>
            </w:pPr>
            <w:r>
              <w:rPr>
                <w:rFonts w:eastAsia="SimSun"/>
                <w:b/>
                <w:bCs/>
                <w:color w:val="000000"/>
                <w:lang w:eastAsia="zh-CN" w:bidi="ar"/>
              </w:rPr>
              <w:t>MEDIANA</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FF94AC">
            <w:pPr>
              <w:jc w:val="center"/>
              <w:textAlignment w:val="bottom"/>
              <w:rPr>
                <w:rFonts w:eastAsia="SimSun"/>
                <w:b/>
                <w:bCs/>
                <w:color w:val="000000"/>
                <w:lang w:eastAsia="zh-CN" w:bidi="ar"/>
              </w:rPr>
            </w:pPr>
            <w:r>
              <w:rPr>
                <w:rFonts w:eastAsia="SimSun"/>
                <w:b/>
                <w:bCs/>
                <w:color w:val="000000"/>
                <w:lang w:eastAsia="zh-CN" w:bidi="ar"/>
              </w:rPr>
              <w:t>TOTAL</w:t>
            </w:r>
          </w:p>
        </w:tc>
      </w:tr>
      <w:tr w14:paraId="1F2F5960">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FE43E01">
            <w:pPr>
              <w:jc w:val="center"/>
              <w:textAlignment w:val="bottom"/>
              <w:rPr>
                <w:rFonts w:eastAsia="SimSun"/>
                <w:b/>
                <w:bCs/>
                <w:color w:val="000000"/>
                <w:lang w:eastAsia="zh-CN" w:bidi="ar"/>
              </w:rPr>
            </w:pPr>
            <w:r>
              <w:rPr>
                <w:rFonts w:eastAsia="SimSun"/>
                <w:b/>
                <w:bCs/>
                <w:color w:val="000000"/>
                <w:lang w:eastAsia="zh-CN" w:bidi="ar"/>
              </w:rPr>
              <w:t>01</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2B7B09">
            <w:pPr>
              <w:jc w:val="center"/>
              <w:textAlignment w:val="bottom"/>
              <w:rPr>
                <w:b/>
                <w:bCs/>
                <w:color w:val="000000"/>
              </w:rPr>
            </w:pPr>
            <w:r>
              <w:rPr>
                <w:b/>
                <w:bCs/>
                <w:color w:val="000000"/>
              </w:rPr>
              <w:t>01</w:t>
            </w:r>
          </w:p>
        </w:tc>
        <w:tc>
          <w:tcPr>
            <w:tcW w:w="3969" w:type="dxa"/>
            <w:tcBorders>
              <w:top w:val="single" w:color="000000" w:sz="2" w:space="0"/>
              <w:left w:val="single" w:color="000000" w:sz="2" w:space="0"/>
              <w:bottom w:val="single" w:color="000000" w:sz="2" w:space="0"/>
              <w:right w:val="single" w:color="000000" w:sz="2" w:space="0"/>
            </w:tcBorders>
            <w:shd w:val="clear" w:color="auto" w:fill="auto"/>
            <w:noWrap/>
          </w:tcPr>
          <w:p w14:paraId="391BFDD5">
            <w:pPr>
              <w:jc w:val="both"/>
              <w:rPr>
                <w:b/>
                <w:bCs/>
                <w:color w:val="000000"/>
                <w:sz w:val="16"/>
                <w:szCs w:val="16"/>
              </w:rPr>
            </w:pPr>
            <w:r>
              <w:t xml:space="preserve">Veículo 0 (zero) km, com capacidade mínima de 05 (cinco) passageiros incluindo o motorista, ano modelo 2026, 04 (quatro) portas, na cor branca sólida no padrão de fábrica e de linha de produção, alarme antifurto, alto falantes dianteiros, apoio para cabeça dianteiro com regulagem de altura, ar-condicionado, câmbio manual com no mínimo 05 marchas, rádio AM/FM, travas elétricas, cinto de segurança dianteiro de 3 pontos, computador de bordo (com no mínimo informações do veículo, viagem e consumo), direção elétrica, estepe, motorização mínima 1,0 flex, dianteiro, com no mínimo 71CV (gasolina)/ 75CV (etanol), vidros elétricos no mínimo dianteiro, capacidade de porta malas de no mínimo 300 litros, distância mínima entre os eixos  de 2521MM, equipado com todos os acessórios exigidos pelo CONTRAN e legislações vigente: macaco, chave de rodas, triangulo etc. Todos os equipamentos devem ser de fábrica, tanto o veículo quanto demais acessórios devem apresentar garantia mínima de um ano a contar da entrega do mesmo. </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1E5ADFF">
            <w:pPr>
              <w:jc w:val="center"/>
              <w:textAlignment w:val="bottom"/>
              <w:rPr>
                <w:rFonts w:eastAsia="SimSun"/>
                <w:b/>
                <w:bCs/>
                <w:color w:val="000000"/>
                <w:lang w:eastAsia="zh-CN" w:bidi="ar"/>
              </w:rPr>
            </w:pPr>
            <w:r>
              <w:rPr>
                <w:rFonts w:eastAsia="SimSun"/>
                <w:b/>
                <w:bCs/>
                <w:color w:val="000000"/>
                <w:lang w:eastAsia="zh-CN" w:bidi="ar"/>
              </w:rPr>
              <w:t>628952</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350CC67">
            <w:pPr>
              <w:jc w:val="center"/>
              <w:textAlignment w:val="bottom"/>
              <w:rPr>
                <w:rFonts w:eastAsia="SimSun"/>
                <w:color w:val="000000"/>
                <w:lang w:eastAsia="zh-CN" w:bidi="ar"/>
              </w:rPr>
            </w:pPr>
            <w:r>
              <w:rPr>
                <w:rFonts w:eastAsia="SimSun"/>
                <w:color w:val="000000"/>
                <w:lang w:eastAsia="zh-CN" w:bidi="ar"/>
              </w:rPr>
              <w:t>97.000,00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DBE712D">
            <w:pPr>
              <w:jc w:val="center"/>
              <w:textAlignment w:val="bottom"/>
              <w:rPr>
                <w:rFonts w:eastAsia="SimSun"/>
                <w:color w:val="000000"/>
                <w:lang w:eastAsia="zh-CN" w:bidi="ar"/>
              </w:rPr>
            </w:pPr>
            <w:r>
              <w:rPr>
                <w:rFonts w:eastAsia="SimSun"/>
                <w:color w:val="000000"/>
                <w:lang w:eastAsia="zh-CN" w:bidi="ar"/>
              </w:rPr>
              <w:t>97.390,00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E088916">
            <w:pPr>
              <w:jc w:val="center"/>
              <w:textAlignment w:val="bottom"/>
              <w:rPr>
                <w:rFonts w:eastAsia="SimSun"/>
                <w:color w:val="000000"/>
                <w:lang w:eastAsia="zh-CN" w:bidi="ar"/>
              </w:rPr>
            </w:pPr>
            <w:r>
              <w:rPr>
                <w:rFonts w:eastAsia="SimSun"/>
                <w:color w:val="000000"/>
                <w:lang w:eastAsia="zh-CN" w:bidi="ar"/>
              </w:rPr>
              <w:t>84.025,00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880049C">
            <w:pPr>
              <w:jc w:val="center"/>
              <w:textAlignment w:val="bottom"/>
              <w:rPr>
                <w:rFonts w:eastAsia="SimSun"/>
                <w:color w:val="000000"/>
                <w:lang w:eastAsia="zh-CN" w:bidi="ar"/>
              </w:rPr>
            </w:pPr>
            <w:r>
              <w:rPr>
                <w:rFonts w:eastAsia="SimSun"/>
                <w:color w:val="000000"/>
                <w:lang w:eastAsia="zh-CN" w:bidi="ar"/>
              </w:rPr>
              <w:t>97.000,00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23D92A3">
            <w:pPr>
              <w:jc w:val="center"/>
              <w:textAlignment w:val="bottom"/>
              <w:rPr>
                <w:rFonts w:eastAsia="SimSun"/>
                <w:color w:val="000000"/>
                <w:lang w:eastAsia="zh-CN" w:bidi="ar"/>
              </w:rPr>
            </w:pPr>
            <w:r>
              <w:rPr>
                <w:rFonts w:eastAsia="SimSun"/>
                <w:color w:val="000000"/>
                <w:lang w:eastAsia="zh-CN" w:bidi="ar"/>
              </w:rPr>
              <w:t>97.000,00</w:t>
            </w:r>
          </w:p>
        </w:tc>
      </w:tr>
    </w:tbl>
    <w:p w14:paraId="58D42730">
      <w:pPr>
        <w:tabs>
          <w:tab w:val="left" w:pos="709"/>
        </w:tabs>
        <w:spacing w:before="240" w:after="240"/>
        <w:jc w:val="both"/>
        <w:rPr>
          <w:rFonts w:ascii="Cambria" w:hAnsi="Cambria" w:eastAsia="Cambria" w:cs="Cambria"/>
          <w:b/>
          <w:sz w:val="24"/>
          <w:szCs w:val="24"/>
        </w:rPr>
      </w:pPr>
    </w:p>
    <w:p w14:paraId="330F5726">
      <w:pPr>
        <w:spacing w:line="288" w:lineRule="auto"/>
        <w:contextualSpacing/>
        <w:jc w:val="both"/>
        <w:rPr>
          <w:color w:val="000000"/>
          <w:sz w:val="24"/>
          <w:szCs w:val="24"/>
        </w:rPr>
      </w:pPr>
      <w:r>
        <w:rPr>
          <w:rFonts w:eastAsia="Calibri"/>
          <w:b/>
          <w:bCs/>
          <w:lang w:eastAsia="en-US"/>
        </w:rPr>
        <w:t xml:space="preserve">                                           </w:t>
      </w:r>
    </w:p>
    <w:p w14:paraId="6C4FC310">
      <w:pPr>
        <w:pStyle w:val="96"/>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1145FD0A">
      <w:pPr>
        <w:spacing w:line="288" w:lineRule="auto"/>
        <w:contextualSpacing/>
        <w:jc w:val="center"/>
        <w:rPr>
          <w:b/>
          <w:bCs/>
          <w:color w:val="000000" w:themeColor="text1"/>
          <w:sz w:val="24"/>
          <w:szCs w:val="24"/>
          <w:u w:val="single"/>
          <w14:textFill>
            <w14:solidFill>
              <w14:schemeClr w14:val="tx1"/>
            </w14:solidFill>
          </w14:textFill>
        </w:rPr>
      </w:pPr>
      <w:r>
        <w:rPr>
          <w:b/>
          <w:bCs/>
          <w:color w:val="000000" w:themeColor="text1"/>
          <w:sz w:val="24"/>
          <w:szCs w:val="24"/>
          <w:u w:val="single"/>
          <w14:textFill>
            <w14:solidFill>
              <w14:schemeClr w14:val="tx1"/>
            </w14:solidFill>
          </w14:textFill>
        </w:rPr>
        <w:t>ANEXO VI</w:t>
      </w:r>
    </w:p>
    <w:p w14:paraId="01386BA0">
      <w:pPr>
        <w:spacing w:line="288" w:lineRule="auto"/>
        <w:contextualSpacing/>
        <w:jc w:val="center"/>
        <w:rPr>
          <w:b/>
          <w:bCs/>
          <w:color w:val="000000" w:themeColor="text1"/>
          <w:sz w:val="24"/>
          <w:szCs w:val="24"/>
          <w14:textFill>
            <w14:solidFill>
              <w14:schemeClr w14:val="tx1"/>
            </w14:solidFill>
          </w14:textFill>
        </w:rPr>
      </w:pPr>
    </w:p>
    <w:p w14:paraId="2FEF5E39">
      <w:pPr>
        <w:pStyle w:val="96"/>
        <w:spacing w:before="0" w:beforeAutospacing="0" w:after="0" w:afterAutospacing="0" w:line="360" w:lineRule="auto"/>
        <w:ind w:right="-1"/>
        <w:rPr>
          <w:rFonts w:eastAsia="Calibri"/>
          <w:b/>
          <w:bCs/>
          <w:u w:val="single"/>
          <w:lang w:eastAsia="en-US"/>
        </w:rPr>
      </w:pPr>
    </w:p>
    <w:p w14:paraId="4AFB24E3">
      <w:pPr>
        <w:spacing w:line="288" w:lineRule="auto"/>
        <w:contextualSpacing/>
        <w:jc w:val="center"/>
        <w:rPr>
          <w:b/>
          <w:bCs/>
          <w:sz w:val="24"/>
          <w:szCs w:val="24"/>
        </w:rPr>
      </w:pPr>
      <w:r>
        <w:rPr>
          <w:b/>
          <w:bCs/>
          <w:sz w:val="24"/>
          <w:szCs w:val="24"/>
          <w:highlight w:val="yellow"/>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CONTRATO Nº xxx/xxxx, DE</w:t>
      </w:r>
      <w:r>
        <w:rPr>
          <w:rFonts w:eastAsia="Cambria"/>
          <w:sz w:val="24"/>
          <w:szCs w:val="24"/>
        </w:rPr>
        <w:t xml:space="preserve"> AQUISIÇÃO DE </w:t>
      </w:r>
      <w:r>
        <w:rPr>
          <w:rFonts w:eastAsia="Cambria"/>
          <w:b/>
          <w:sz w:val="24"/>
          <w:szCs w:val="24"/>
        </w:rPr>
        <w:t>VEÍCULO</w:t>
      </w:r>
      <w:r>
        <w:rPr>
          <w:b/>
          <w:sz w:val="24"/>
          <w:szCs w:val="24"/>
        </w:rPr>
        <w:t xml:space="preserve">, QUE FAZEM ENTRE SI O </w:t>
      </w:r>
      <w:r>
        <w:rPr>
          <w:b/>
          <w:bCs/>
          <w:sz w:val="24"/>
          <w:szCs w:val="24"/>
        </w:rPr>
        <w:t>MUNICÍPIO DE VALENÇA, PELA SECRETARIA DE SAÚDE.</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DE SAÚDE</w:t>
      </w:r>
      <w:r>
        <w:rPr>
          <w:sz w:val="24"/>
          <w:szCs w:val="24"/>
        </w:rPr>
        <w:t xml:space="preserve"> com sede na</w:t>
      </w:r>
      <w:r>
        <w:rPr>
          <w:iCs/>
          <w:color w:val="000000"/>
          <w:sz w:val="24"/>
          <w:szCs w:val="24"/>
        </w:rPr>
        <w:t xml:space="preserve"> Rua Dr. Figueiredo, n° 320</w:t>
      </w:r>
      <w:r>
        <w:rPr>
          <w:rFonts w:eastAsia="Calibri"/>
          <w:sz w:val="24"/>
          <w:szCs w:val="24"/>
          <w:lang w:eastAsia="en-US"/>
        </w:rPr>
        <w:t xml:space="preserve">,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 xml:space="preserve">por seu Secretário Municipal, </w:t>
      </w:r>
      <w:r>
        <w:rPr>
          <w:sz w:val="24"/>
          <w:szCs w:val="24"/>
        </w:rPr>
        <w:t xml:space="preserve">XXXXX, portador do  CPF nº ...............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531C7CEA">
      <w:pPr>
        <w:spacing w:line="360" w:lineRule="auto"/>
        <w:jc w:val="both"/>
        <w:rPr>
          <w:rFonts w:eastAsia="SimSun"/>
          <w:sz w:val="24"/>
          <w:szCs w:val="24"/>
        </w:rPr>
      </w:pPr>
      <w:r>
        <w:rPr>
          <w:rFonts w:eastAsia="Cambria"/>
          <w:sz w:val="24"/>
          <w:szCs w:val="24"/>
        </w:rPr>
        <w:t xml:space="preserve">1.1 </w:t>
      </w:r>
      <w:r>
        <w:rPr>
          <w:sz w:val="24"/>
          <w:szCs w:val="24"/>
        </w:rPr>
        <w:t xml:space="preserve">Aquisição de veículo para transporte da equipe multiprofissional do Serviço de Atendimento Domiciliar conforme estabelece seus critérios na portaria </w:t>
      </w:r>
      <w:r>
        <w:rPr>
          <w:color w:val="1F1F1F"/>
          <w:sz w:val="24"/>
          <w:szCs w:val="24"/>
          <w:shd w:val="clear" w:color="auto" w:fill="FFFFFF"/>
        </w:rPr>
        <w:t>nº 825, de 25 de abril de 2016</w:t>
      </w:r>
      <w:r>
        <w:rPr>
          <w:b/>
          <w:bCs/>
          <w:sz w:val="24"/>
          <w:szCs w:val="24"/>
        </w:rPr>
        <w:t>,</w:t>
      </w:r>
      <w:r>
        <w:rPr>
          <w:sz w:val="24"/>
          <w:szCs w:val="24"/>
        </w:rPr>
        <w:t xml:space="preserve"> destinada ao fortalecimento das ações e ao cuidado com o paciente. Proposta </w:t>
      </w:r>
      <w:r>
        <w:rPr>
          <w:sz w:val="24"/>
          <w:szCs w:val="24"/>
          <w:shd w:val="clear" w:color="auto" w:fill="FFFFFF"/>
        </w:rPr>
        <w:t>de Equipamento nº 11934211000125002</w:t>
      </w:r>
      <w:r>
        <w:rPr>
          <w:color w:val="1F1F1F"/>
          <w:sz w:val="24"/>
          <w:szCs w:val="24"/>
          <w:shd w:val="clear" w:color="auto" w:fill="FFFFFF"/>
        </w:rPr>
        <w:t>.</w:t>
      </w:r>
    </w:p>
    <w:p w14:paraId="5FE4D501">
      <w:pPr>
        <w:pStyle w:val="98"/>
        <w:spacing w:before="0" w:after="0" w:line="288" w:lineRule="auto"/>
        <w:ind w:left="0" w:firstLine="0"/>
        <w:contextualSpacing/>
        <w:rPr>
          <w:rFonts w:ascii="Times New Roman" w:hAnsi="Times New Roman" w:cs="Times New Roman"/>
          <w:sz w:val="24"/>
          <w:szCs w:val="24"/>
        </w:rPr>
      </w:pPr>
    </w:p>
    <w:p w14:paraId="68CC6FEC">
      <w:pPr>
        <w:pStyle w:val="98"/>
        <w:numPr>
          <w:ilvl w:val="1"/>
          <w:numId w:val="10"/>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98"/>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98"/>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98"/>
        <w:spacing w:before="0" w:after="0" w:line="288" w:lineRule="auto"/>
        <w:ind w:left="0" w:firstLine="0"/>
        <w:contextualSpacing/>
        <w:rPr>
          <w:rFonts w:ascii="Times New Roman" w:hAnsi="Times New Roman" w:cs="Times New Roman"/>
          <w:sz w:val="24"/>
          <w:szCs w:val="24"/>
          <w:lang w:val="zh-CN"/>
        </w:rPr>
      </w:pPr>
    </w:p>
    <w:p w14:paraId="5616DD5D">
      <w:pPr>
        <w:pStyle w:val="102"/>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102"/>
        <w:spacing w:before="0" w:after="0" w:line="288" w:lineRule="auto"/>
        <w:ind w:left="0" w:firstLine="0"/>
        <w:contextualSpacing/>
        <w:rPr>
          <w:rFonts w:ascii="Times New Roman" w:hAnsi="Times New Roman" w:cs="Times New Roman"/>
          <w:color w:val="auto"/>
          <w:sz w:val="24"/>
          <w:szCs w:val="24"/>
          <w:lang w:val="zh-CN"/>
        </w:rPr>
      </w:pPr>
    </w:p>
    <w:p w14:paraId="4A1752B1">
      <w:pPr>
        <w:pStyle w:val="102"/>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102"/>
        <w:spacing w:before="0" w:after="0" w:line="288" w:lineRule="auto"/>
        <w:ind w:left="0" w:firstLine="0"/>
        <w:contextualSpacing/>
        <w:rPr>
          <w:rFonts w:ascii="Times New Roman" w:hAnsi="Times New Roman" w:cs="Times New Roman"/>
          <w:color w:val="auto"/>
          <w:sz w:val="24"/>
          <w:szCs w:val="24"/>
          <w:lang w:val="zh-CN"/>
        </w:rPr>
      </w:pPr>
    </w:p>
    <w:p w14:paraId="64D51D97">
      <w:pPr>
        <w:pStyle w:val="102"/>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102"/>
        <w:spacing w:before="0" w:after="0" w:line="288" w:lineRule="auto"/>
        <w:ind w:left="0" w:firstLine="0"/>
        <w:contextualSpacing/>
        <w:rPr>
          <w:rFonts w:ascii="Times New Roman" w:hAnsi="Times New Roman" w:cs="Times New Roman"/>
          <w:color w:val="auto"/>
          <w:sz w:val="24"/>
          <w:szCs w:val="24"/>
          <w:lang w:val="zh-CN"/>
        </w:rPr>
      </w:pPr>
    </w:p>
    <w:p w14:paraId="625BF8E2">
      <w:pPr>
        <w:pStyle w:val="10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102"/>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106"/>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10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10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100"/>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100"/>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100"/>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100"/>
        <w:spacing w:before="0" w:line="288" w:lineRule="auto"/>
        <w:ind w:left="0" w:firstLine="0"/>
        <w:contextualSpacing/>
        <w:rPr>
          <w:rFonts w:ascii="Times New Roman" w:hAnsi="Times New Roman" w:cs="Times New Roman"/>
          <w:sz w:val="24"/>
          <w:szCs w:val="24"/>
        </w:rPr>
      </w:pPr>
    </w:p>
    <w:p w14:paraId="362BFBE7">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112"/>
        <w:spacing w:before="0" w:after="0" w:line="288" w:lineRule="auto"/>
        <w:contextualSpacing/>
        <w:jc w:val="both"/>
        <w:rPr>
          <w:rFonts w:ascii="Times New Roman" w:hAnsi="Times New Roman" w:cs="Times New Roman"/>
          <w:lang w:eastAsia="zh-CN" w:bidi="hi-IN"/>
        </w:rPr>
      </w:pPr>
    </w:p>
    <w:p w14:paraId="5DA872A4">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112"/>
        <w:spacing w:before="0" w:after="0" w:line="288" w:lineRule="auto"/>
        <w:contextualSpacing/>
        <w:jc w:val="both"/>
        <w:rPr>
          <w:rFonts w:ascii="Times New Roman" w:hAnsi="Times New Roman" w:cs="Times New Roman"/>
          <w:b w:val="0"/>
          <w:bCs w:val="0"/>
          <w:i w:val="0"/>
          <w:iCs w:val="0"/>
          <w:u w:val="none"/>
        </w:rPr>
      </w:pPr>
    </w:p>
    <w:p w14:paraId="7C2BF490">
      <w:pPr>
        <w:pStyle w:val="107"/>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107"/>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107"/>
        <w:numPr>
          <w:ilvl w:val="0"/>
          <w:numId w:val="0"/>
        </w:numPr>
        <w:spacing w:before="0" w:after="0" w:line="288" w:lineRule="auto"/>
        <w:contextualSpacing/>
        <w:rPr>
          <w:rFonts w:ascii="Times New Roman" w:hAnsi="Times New Roman" w:cs="Times New Roman"/>
          <w:i w:val="0"/>
          <w:iCs w:val="0"/>
          <w:sz w:val="24"/>
          <w:szCs w:val="24"/>
        </w:rPr>
      </w:pPr>
    </w:p>
    <w:p w14:paraId="5F069C34">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107"/>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39729295">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junto à instituição indicada pelo mesmo, observando-se o disposto no item 5.3. deste Contrato.</w:t>
      </w:r>
    </w:p>
    <w:p w14:paraId="1EF4737E">
      <w:pPr>
        <w:pStyle w:val="20"/>
        <w:spacing w:line="288" w:lineRule="auto"/>
        <w:contextualSpacing/>
        <w:jc w:val="both"/>
        <w:rPr>
          <w:rFonts w:ascii="Times New Roman" w:hAnsi="Times New Roman" w:cs="Times New Roman"/>
        </w:rPr>
      </w:pPr>
    </w:p>
    <w:p w14:paraId="7572B926">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xml:space="preserve">, cujo número e agência deverão ser informados pelo adjudicatário. </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6.4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6.5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6.6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6.7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6.7.1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6.7.2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6.7.3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6.7.4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6.8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6.8.1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6.9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6.9.1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6.9.2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6.10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6.11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6.12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6.12.1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100"/>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98"/>
        <w:spacing w:before="0" w:after="0" w:line="288" w:lineRule="auto"/>
        <w:ind w:left="0" w:firstLine="0"/>
        <w:contextualSpacing/>
        <w:rPr>
          <w:rFonts w:ascii="Times New Roman" w:hAnsi="Times New Roman" w:cs="Times New Roman"/>
          <w:sz w:val="24"/>
          <w:szCs w:val="24"/>
        </w:rPr>
      </w:pPr>
    </w:p>
    <w:p w14:paraId="24030337">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98"/>
        <w:spacing w:before="0" w:after="0" w:line="288" w:lineRule="auto"/>
        <w:ind w:left="0" w:firstLine="0"/>
        <w:contextualSpacing/>
        <w:rPr>
          <w:rFonts w:ascii="Times New Roman" w:hAnsi="Times New Roman" w:cs="Times New Roman"/>
          <w:sz w:val="24"/>
          <w:szCs w:val="24"/>
        </w:rPr>
      </w:pPr>
    </w:p>
    <w:p w14:paraId="4C7B668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98"/>
        <w:spacing w:before="0" w:after="0" w:line="288" w:lineRule="auto"/>
        <w:ind w:left="0" w:firstLine="0"/>
        <w:contextualSpacing/>
        <w:rPr>
          <w:rFonts w:ascii="Times New Roman" w:hAnsi="Times New Roman" w:cs="Times New Roman"/>
          <w:sz w:val="24"/>
          <w:szCs w:val="24"/>
        </w:rPr>
      </w:pPr>
    </w:p>
    <w:p w14:paraId="781DD946">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98"/>
        <w:spacing w:before="0" w:after="0" w:line="288" w:lineRule="auto"/>
        <w:ind w:left="0" w:firstLine="0"/>
        <w:contextualSpacing/>
        <w:rPr>
          <w:rFonts w:ascii="Times New Roman" w:hAnsi="Times New Roman" w:cs="Times New Roman"/>
          <w:sz w:val="24"/>
          <w:szCs w:val="24"/>
        </w:rPr>
      </w:pPr>
    </w:p>
    <w:p w14:paraId="2ECEA36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98"/>
        <w:spacing w:before="0" w:after="0" w:line="288" w:lineRule="auto"/>
        <w:ind w:left="0" w:firstLine="0"/>
        <w:contextualSpacing/>
        <w:rPr>
          <w:rFonts w:ascii="Times New Roman" w:hAnsi="Times New Roman" w:cs="Times New Roman"/>
          <w:sz w:val="24"/>
          <w:szCs w:val="24"/>
        </w:rPr>
      </w:pPr>
    </w:p>
    <w:p w14:paraId="6978F17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98"/>
        <w:spacing w:before="0" w:after="0" w:line="288" w:lineRule="auto"/>
        <w:ind w:left="0" w:firstLine="0"/>
        <w:contextualSpacing/>
        <w:rPr>
          <w:rFonts w:ascii="Times New Roman" w:hAnsi="Times New Roman" w:cs="Times New Roman"/>
          <w:sz w:val="24"/>
          <w:szCs w:val="24"/>
        </w:rPr>
      </w:pPr>
    </w:p>
    <w:p w14:paraId="44EFB2E9">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98"/>
        <w:spacing w:before="0" w:after="0" w:line="288" w:lineRule="auto"/>
        <w:ind w:left="0" w:firstLine="0"/>
        <w:contextualSpacing/>
        <w:rPr>
          <w:rFonts w:ascii="Times New Roman" w:hAnsi="Times New Roman" w:cs="Times New Roman"/>
          <w:sz w:val="24"/>
          <w:szCs w:val="24"/>
        </w:rPr>
      </w:pPr>
    </w:p>
    <w:p w14:paraId="7936A54F">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98"/>
        <w:spacing w:before="0" w:after="0" w:line="288" w:lineRule="auto"/>
        <w:ind w:left="0" w:firstLine="0"/>
        <w:contextualSpacing/>
        <w:rPr>
          <w:rFonts w:ascii="Times New Roman" w:hAnsi="Times New Roman" w:cs="Times New Roman"/>
          <w:sz w:val="24"/>
          <w:szCs w:val="24"/>
        </w:rPr>
      </w:pPr>
    </w:p>
    <w:p w14:paraId="5DC3070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98"/>
        <w:spacing w:before="0" w:after="0" w:line="288" w:lineRule="auto"/>
        <w:ind w:left="0" w:firstLine="0"/>
        <w:contextualSpacing/>
        <w:rPr>
          <w:rFonts w:ascii="Times New Roman" w:hAnsi="Times New Roman" w:cs="Times New Roman"/>
          <w:color w:val="auto"/>
          <w:sz w:val="24"/>
          <w:szCs w:val="24"/>
        </w:rPr>
      </w:pPr>
    </w:p>
    <w:p w14:paraId="2F83A24A">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107"/>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100"/>
        <w:spacing w:before="0" w:line="288" w:lineRule="auto"/>
        <w:ind w:left="0" w:firstLine="0"/>
        <w:contextualSpacing/>
        <w:rPr>
          <w:rFonts w:ascii="Times New Roman" w:hAnsi="Times New Roman" w:cs="Times New Roman"/>
          <w:b w:val="0"/>
          <w:bCs w:val="0"/>
          <w:sz w:val="24"/>
          <w:szCs w:val="24"/>
        </w:rPr>
      </w:pPr>
    </w:p>
    <w:p w14:paraId="7D32112C">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100"/>
        <w:spacing w:before="0" w:line="288" w:lineRule="auto"/>
        <w:ind w:left="0" w:firstLine="0"/>
        <w:contextualSpacing/>
        <w:rPr>
          <w:rFonts w:ascii="Times New Roman" w:hAnsi="Times New Roman" w:cs="Times New Roman"/>
          <w:b w:val="0"/>
          <w:bCs w:val="0"/>
          <w:sz w:val="24"/>
          <w:szCs w:val="24"/>
        </w:rPr>
      </w:pPr>
    </w:p>
    <w:p w14:paraId="4A56E2ED">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100"/>
        <w:spacing w:before="0" w:line="288" w:lineRule="auto"/>
        <w:ind w:left="0" w:firstLine="0"/>
        <w:contextualSpacing/>
        <w:rPr>
          <w:rFonts w:ascii="Times New Roman" w:hAnsi="Times New Roman" w:cs="Times New Roman"/>
          <w:b w:val="0"/>
          <w:bCs w:val="0"/>
          <w:sz w:val="24"/>
          <w:szCs w:val="24"/>
        </w:rPr>
      </w:pPr>
    </w:p>
    <w:p w14:paraId="4D064850">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98"/>
        <w:spacing w:before="0" w:after="0" w:line="288" w:lineRule="auto"/>
        <w:ind w:left="0" w:firstLine="0"/>
        <w:contextualSpacing/>
        <w:rPr>
          <w:rFonts w:ascii="Times New Roman" w:hAnsi="Times New Roman" w:cs="Times New Roman"/>
          <w:sz w:val="24"/>
          <w:szCs w:val="24"/>
        </w:rPr>
      </w:pPr>
    </w:p>
    <w:p w14:paraId="78ADE57A">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98"/>
        <w:spacing w:before="0" w:after="0" w:line="288" w:lineRule="auto"/>
        <w:ind w:left="0" w:firstLine="0"/>
        <w:contextualSpacing/>
        <w:rPr>
          <w:rFonts w:ascii="Times New Roman" w:hAnsi="Times New Roman" w:cs="Times New Roman"/>
          <w:sz w:val="24"/>
          <w:szCs w:val="24"/>
        </w:rPr>
      </w:pPr>
    </w:p>
    <w:p w14:paraId="16E1E5C6">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98"/>
        <w:spacing w:before="0" w:after="0" w:line="288" w:lineRule="auto"/>
        <w:ind w:left="0" w:firstLine="0"/>
        <w:contextualSpacing/>
        <w:rPr>
          <w:rFonts w:ascii="Times New Roman" w:hAnsi="Times New Roman" w:cs="Times New Roman"/>
          <w:sz w:val="24"/>
          <w:szCs w:val="24"/>
        </w:rPr>
      </w:pPr>
    </w:p>
    <w:p w14:paraId="606CA4E3">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98"/>
        <w:spacing w:before="0" w:after="0" w:line="288" w:lineRule="auto"/>
        <w:ind w:left="0" w:firstLine="0"/>
        <w:contextualSpacing/>
        <w:rPr>
          <w:rFonts w:ascii="Times New Roman" w:hAnsi="Times New Roman" w:cs="Times New Roman"/>
          <w:sz w:val="24"/>
          <w:szCs w:val="24"/>
        </w:rPr>
      </w:pPr>
    </w:p>
    <w:p w14:paraId="3662ACC9">
      <w:pPr>
        <w:pStyle w:val="98"/>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98"/>
        <w:spacing w:before="0" w:after="0" w:line="288" w:lineRule="auto"/>
        <w:ind w:left="0" w:firstLine="0"/>
        <w:contextualSpacing/>
        <w:rPr>
          <w:rFonts w:ascii="Times New Roman" w:hAnsi="Times New Roman" w:cs="Times New Roman"/>
          <w:color w:val="FF0000"/>
          <w:sz w:val="24"/>
          <w:szCs w:val="24"/>
        </w:rPr>
      </w:pPr>
    </w:p>
    <w:p w14:paraId="38F285E8">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98"/>
        <w:spacing w:before="0" w:after="0" w:line="288" w:lineRule="auto"/>
        <w:ind w:left="0" w:firstLine="0"/>
        <w:contextualSpacing/>
        <w:rPr>
          <w:rFonts w:ascii="Times New Roman" w:hAnsi="Times New Roman" w:cs="Times New Roman"/>
          <w:sz w:val="24"/>
          <w:szCs w:val="24"/>
        </w:rPr>
      </w:pPr>
    </w:p>
    <w:p w14:paraId="0B7B94C9">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100"/>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100"/>
        <w:spacing w:before="0" w:line="288" w:lineRule="auto"/>
        <w:ind w:left="0" w:firstLine="0"/>
        <w:contextualSpacing/>
        <w:rPr>
          <w:rFonts w:ascii="Times New Roman" w:hAnsi="Times New Roman" w:cs="Times New Roman"/>
          <w:b w:val="0"/>
          <w:bCs w:val="0"/>
          <w:sz w:val="24"/>
          <w:szCs w:val="24"/>
        </w:rPr>
      </w:pPr>
    </w:p>
    <w:p w14:paraId="6DAA276F">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98"/>
        <w:spacing w:before="0" w:after="0" w:line="288" w:lineRule="auto"/>
        <w:ind w:left="0" w:firstLine="0"/>
        <w:contextualSpacing/>
        <w:rPr>
          <w:rFonts w:ascii="Times New Roman" w:hAnsi="Times New Roman" w:cs="Times New Roman"/>
          <w:sz w:val="24"/>
          <w:szCs w:val="24"/>
        </w:rPr>
      </w:pPr>
    </w:p>
    <w:p w14:paraId="28EAD8B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98"/>
        <w:spacing w:before="0" w:after="0" w:line="288" w:lineRule="auto"/>
        <w:ind w:left="0" w:firstLine="0"/>
        <w:contextualSpacing/>
        <w:rPr>
          <w:rFonts w:ascii="Times New Roman" w:hAnsi="Times New Roman" w:cs="Times New Roman"/>
          <w:sz w:val="24"/>
          <w:szCs w:val="24"/>
        </w:rPr>
      </w:pPr>
    </w:p>
    <w:p w14:paraId="78006B54">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98"/>
        <w:spacing w:before="0" w:after="0" w:line="288" w:lineRule="auto"/>
        <w:ind w:left="0" w:firstLine="0"/>
        <w:contextualSpacing/>
        <w:rPr>
          <w:rFonts w:ascii="Times New Roman" w:hAnsi="Times New Roman" w:cs="Times New Roman"/>
          <w:sz w:val="24"/>
          <w:szCs w:val="24"/>
        </w:rPr>
      </w:pPr>
    </w:p>
    <w:p w14:paraId="6E09BC02">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98"/>
        <w:spacing w:before="0" w:after="0" w:line="288" w:lineRule="auto"/>
        <w:ind w:left="0" w:firstLine="0"/>
        <w:contextualSpacing/>
        <w:rPr>
          <w:rFonts w:ascii="Times New Roman" w:hAnsi="Times New Roman" w:cs="Times New Roman"/>
          <w:sz w:val="24"/>
          <w:szCs w:val="24"/>
        </w:rPr>
      </w:pPr>
    </w:p>
    <w:p w14:paraId="3E3FBC5B">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98"/>
        <w:spacing w:before="0" w:after="0" w:line="288" w:lineRule="auto"/>
        <w:ind w:left="0" w:firstLine="0"/>
        <w:contextualSpacing/>
        <w:rPr>
          <w:rFonts w:ascii="Times New Roman" w:hAnsi="Times New Roman" w:cs="Times New Roman"/>
          <w:sz w:val="24"/>
          <w:szCs w:val="24"/>
        </w:rPr>
      </w:pPr>
    </w:p>
    <w:p w14:paraId="1094B93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98"/>
        <w:spacing w:before="0" w:after="0" w:line="288" w:lineRule="auto"/>
        <w:ind w:left="0" w:firstLine="0"/>
        <w:contextualSpacing/>
        <w:rPr>
          <w:rFonts w:ascii="Times New Roman" w:hAnsi="Times New Roman" w:cs="Times New Roman"/>
          <w:sz w:val="24"/>
          <w:szCs w:val="24"/>
        </w:rPr>
      </w:pPr>
    </w:p>
    <w:p w14:paraId="4467097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98"/>
        <w:spacing w:before="0" w:after="0" w:line="288" w:lineRule="auto"/>
        <w:ind w:left="0" w:firstLine="0"/>
        <w:contextualSpacing/>
        <w:rPr>
          <w:rFonts w:ascii="Times New Roman" w:hAnsi="Times New Roman" w:cs="Times New Roman"/>
          <w:sz w:val="24"/>
          <w:szCs w:val="24"/>
        </w:rPr>
      </w:pPr>
    </w:p>
    <w:p w14:paraId="587917D8">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98"/>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98"/>
        <w:spacing w:before="0" w:after="0" w:line="288" w:lineRule="auto"/>
        <w:ind w:left="0" w:firstLine="0"/>
        <w:contextualSpacing/>
        <w:rPr>
          <w:rFonts w:ascii="Times New Roman" w:hAnsi="Times New Roman" w:cs="Times New Roman"/>
          <w:sz w:val="24"/>
          <w:szCs w:val="24"/>
        </w:rPr>
      </w:pPr>
    </w:p>
    <w:p w14:paraId="76C12EBD">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98"/>
        <w:spacing w:before="0" w:after="0" w:line="288" w:lineRule="auto"/>
        <w:ind w:left="0" w:firstLine="0"/>
        <w:contextualSpacing/>
        <w:rPr>
          <w:rFonts w:ascii="Times New Roman" w:hAnsi="Times New Roman" w:cs="Times New Roman"/>
          <w:sz w:val="24"/>
          <w:szCs w:val="24"/>
        </w:rPr>
      </w:pPr>
    </w:p>
    <w:p w14:paraId="49A0FC6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98"/>
        <w:spacing w:before="0" w:after="0" w:line="288" w:lineRule="auto"/>
        <w:ind w:left="0" w:firstLine="0"/>
        <w:contextualSpacing/>
        <w:rPr>
          <w:rFonts w:ascii="Times New Roman" w:hAnsi="Times New Roman" w:cs="Times New Roman"/>
          <w:sz w:val="24"/>
          <w:szCs w:val="24"/>
        </w:rPr>
      </w:pPr>
    </w:p>
    <w:p w14:paraId="2BD16CE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98"/>
        <w:spacing w:before="0" w:after="0" w:line="288" w:lineRule="auto"/>
        <w:ind w:left="0" w:firstLine="0"/>
        <w:contextualSpacing/>
        <w:rPr>
          <w:rFonts w:ascii="Times New Roman" w:hAnsi="Times New Roman" w:cs="Times New Roman"/>
          <w:sz w:val="24"/>
          <w:szCs w:val="24"/>
        </w:rPr>
      </w:pPr>
    </w:p>
    <w:p w14:paraId="5ACB4CAD">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98"/>
        <w:spacing w:before="0" w:after="0" w:line="288" w:lineRule="auto"/>
        <w:ind w:left="0" w:firstLine="0"/>
        <w:contextualSpacing/>
        <w:rPr>
          <w:rFonts w:ascii="Times New Roman" w:hAnsi="Times New Roman" w:cs="Times New Roman"/>
          <w:sz w:val="24"/>
          <w:szCs w:val="24"/>
        </w:rPr>
      </w:pPr>
    </w:p>
    <w:p w14:paraId="52F93675">
      <w:pPr>
        <w:pStyle w:val="98"/>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98"/>
        <w:spacing w:before="0" w:after="0" w:line="288" w:lineRule="auto"/>
        <w:ind w:left="0" w:firstLine="0"/>
        <w:contextualSpacing/>
        <w:rPr>
          <w:rFonts w:ascii="Times New Roman" w:hAnsi="Times New Roman" w:cs="Times New Roman"/>
          <w:sz w:val="24"/>
          <w:szCs w:val="24"/>
        </w:rPr>
      </w:pPr>
    </w:p>
    <w:p w14:paraId="634A6C5F">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98"/>
        <w:spacing w:before="0" w:after="0" w:line="288" w:lineRule="auto"/>
        <w:ind w:left="0" w:firstLine="0"/>
        <w:contextualSpacing/>
        <w:rPr>
          <w:rFonts w:ascii="Times New Roman" w:hAnsi="Times New Roman" w:cs="Times New Roman"/>
          <w:color w:val="auto"/>
          <w:sz w:val="24"/>
          <w:szCs w:val="24"/>
        </w:rPr>
      </w:pPr>
    </w:p>
    <w:p w14:paraId="7992FC7C">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98"/>
        <w:spacing w:before="0" w:after="0" w:line="288" w:lineRule="auto"/>
        <w:ind w:left="0" w:firstLine="0"/>
        <w:contextualSpacing/>
        <w:rPr>
          <w:rFonts w:ascii="Times New Roman" w:hAnsi="Times New Roman" w:cs="Times New Roman"/>
          <w:color w:val="auto"/>
          <w:sz w:val="24"/>
          <w:szCs w:val="24"/>
        </w:rPr>
      </w:pPr>
    </w:p>
    <w:p w14:paraId="2394353E">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98"/>
        <w:spacing w:before="0" w:after="0" w:line="288" w:lineRule="auto"/>
        <w:ind w:left="0" w:firstLine="0"/>
        <w:contextualSpacing/>
        <w:rPr>
          <w:rFonts w:ascii="Times New Roman" w:hAnsi="Times New Roman" w:cs="Times New Roman"/>
          <w:sz w:val="24"/>
          <w:szCs w:val="24"/>
        </w:rPr>
      </w:pPr>
    </w:p>
    <w:p w14:paraId="1BFD4C02">
      <w:pPr>
        <w:pStyle w:val="98"/>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5F59BA8C">
      <w:pPr>
        <w:pStyle w:val="98"/>
        <w:spacing w:before="0" w:after="0" w:line="288" w:lineRule="auto"/>
        <w:ind w:left="0" w:firstLine="0"/>
        <w:contextualSpacing/>
        <w:rPr>
          <w:rFonts w:ascii="Times New Roman" w:hAnsi="Times New Roman" w:cs="Times New Roman"/>
          <w:sz w:val="24"/>
          <w:szCs w:val="24"/>
        </w:rPr>
      </w:pPr>
    </w:p>
    <w:p w14:paraId="1056743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98"/>
        <w:spacing w:before="0" w:after="0" w:line="288" w:lineRule="auto"/>
        <w:ind w:left="0" w:firstLine="0"/>
        <w:contextualSpacing/>
        <w:rPr>
          <w:rFonts w:ascii="Times New Roman" w:hAnsi="Times New Roman" w:cs="Times New Roman"/>
          <w:sz w:val="24"/>
          <w:szCs w:val="24"/>
        </w:rPr>
      </w:pPr>
    </w:p>
    <w:p w14:paraId="1B8CCABD">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98"/>
        <w:spacing w:before="0" w:after="0" w:line="288" w:lineRule="auto"/>
        <w:ind w:left="0" w:firstLine="0"/>
        <w:contextualSpacing/>
        <w:rPr>
          <w:rFonts w:ascii="Times New Roman" w:hAnsi="Times New Roman" w:cs="Times New Roman"/>
          <w:sz w:val="24"/>
          <w:szCs w:val="24"/>
        </w:rPr>
      </w:pPr>
    </w:p>
    <w:p w14:paraId="5B279A4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0"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98"/>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0"/>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102"/>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107"/>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107"/>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6"/>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107"/>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107"/>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107"/>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107"/>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104"/>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17"/>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7"/>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17"/>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17"/>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7"/>
          <w:rFonts w:ascii="Times New Roman" w:hAnsi="Times New Roman" w:cs="Times New Roman"/>
          <w:sz w:val="24"/>
          <w:szCs w:val="24"/>
        </w:rPr>
        <w:t>;</w:t>
      </w:r>
    </w:p>
    <w:p w14:paraId="1AE4225C">
      <w:pPr>
        <w:spacing w:line="288" w:lineRule="auto"/>
        <w:contextualSpacing/>
        <w:jc w:val="both"/>
        <w:rPr>
          <w:sz w:val="24"/>
          <w:szCs w:val="24"/>
        </w:rPr>
      </w:pPr>
      <w:r>
        <w:rPr>
          <w:rStyle w:val="117"/>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7"/>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69"/>
        <w:spacing w:line="288" w:lineRule="auto"/>
        <w:contextualSpacing/>
        <w:jc w:val="both"/>
        <w:rPr>
          <w:rFonts w:ascii="Times New Roman" w:hAnsi="Times New Roman" w:cs="Times New Roman"/>
        </w:rPr>
      </w:pPr>
    </w:p>
    <w:p w14:paraId="100B3649">
      <w:pPr>
        <w:pStyle w:val="69"/>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106"/>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107"/>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107"/>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107"/>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107"/>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107"/>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102"/>
        <w:spacing w:before="0" w:after="0" w:line="288" w:lineRule="auto"/>
        <w:ind w:left="0" w:firstLine="0"/>
        <w:contextualSpacing/>
        <w:rPr>
          <w:rFonts w:ascii="Times New Roman" w:hAnsi="Times New Roman" w:cs="Times New Roman"/>
          <w:sz w:val="24"/>
          <w:szCs w:val="24"/>
        </w:rPr>
      </w:pPr>
    </w:p>
    <w:p w14:paraId="62741D41">
      <w:pPr>
        <w:pStyle w:val="102"/>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1B9331FD">
      <w:pPr>
        <w:pStyle w:val="102"/>
        <w:spacing w:before="0" w:after="0" w:line="288" w:lineRule="auto"/>
        <w:ind w:left="0" w:firstLine="0"/>
        <w:contextualSpacing/>
        <w:rPr>
          <w:rStyle w:val="16"/>
          <w:rFonts w:ascii="Times New Roman" w:hAnsi="Times New Roman" w:cs="Times New Roman" w:eastAsiaTheme="minorHAnsi"/>
          <w:color w:val="auto"/>
          <w:sz w:val="24"/>
          <w:szCs w:val="24"/>
        </w:rPr>
      </w:pPr>
    </w:p>
    <w:p w14:paraId="78F1758C">
      <w:pPr>
        <w:pStyle w:val="10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100"/>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98"/>
        <w:spacing w:before="0" w:after="0" w:line="288" w:lineRule="auto"/>
        <w:ind w:left="22" w:firstLine="0"/>
        <w:contextualSpacing/>
        <w:rPr>
          <w:rFonts w:ascii="Times New Roman" w:hAnsi="Times New Roman" w:cs="Times New Roman"/>
          <w:sz w:val="24"/>
          <w:szCs w:val="24"/>
        </w:rPr>
      </w:pPr>
    </w:p>
    <w:p w14:paraId="5233B4DE">
      <w:pPr>
        <w:pStyle w:val="98"/>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100"/>
        <w:spacing w:before="0" w:line="288" w:lineRule="auto"/>
        <w:ind w:left="0" w:firstLine="0"/>
        <w:contextualSpacing/>
        <w:rPr>
          <w:rFonts w:ascii="Times New Roman" w:hAnsi="Times New Roman" w:cs="Times New Roman"/>
          <w:b w:val="0"/>
          <w:bCs w:val="0"/>
          <w:sz w:val="24"/>
          <w:szCs w:val="24"/>
        </w:rPr>
      </w:pPr>
    </w:p>
    <w:p w14:paraId="6B8B948E">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98"/>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20"/>
        <w:spacing w:line="288" w:lineRule="auto"/>
        <w:contextualSpacing/>
        <w:jc w:val="both"/>
        <w:rPr>
          <w:rFonts w:ascii="Times New Roman" w:hAnsi="Times New Roman" w:cs="Times New Roman"/>
        </w:rPr>
      </w:pPr>
    </w:p>
    <w:p w14:paraId="0ECEA7B4">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20"/>
        <w:spacing w:line="288" w:lineRule="auto"/>
        <w:contextualSpacing/>
        <w:jc w:val="both"/>
        <w:rPr>
          <w:rFonts w:ascii="Times New Roman" w:hAnsi="Times New Roman" w:cs="Times New Roman"/>
        </w:rPr>
      </w:pPr>
    </w:p>
    <w:p w14:paraId="25FF391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20"/>
        <w:spacing w:line="288" w:lineRule="auto"/>
        <w:contextualSpacing/>
        <w:jc w:val="both"/>
        <w:rPr>
          <w:rFonts w:ascii="Times New Roman" w:hAnsi="Times New Roman" w:cs="Times New Roman"/>
        </w:rPr>
      </w:pPr>
    </w:p>
    <w:p w14:paraId="15FF96C6">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20"/>
        <w:spacing w:line="288" w:lineRule="auto"/>
        <w:contextualSpacing/>
        <w:jc w:val="both"/>
        <w:rPr>
          <w:rFonts w:ascii="Times New Roman" w:hAnsi="Times New Roman" w:cs="Times New Roman"/>
        </w:rPr>
      </w:pPr>
    </w:p>
    <w:p w14:paraId="73BC5D3A">
      <w:pPr>
        <w:pStyle w:val="100"/>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98"/>
        <w:spacing w:before="0" w:after="0" w:line="288" w:lineRule="auto"/>
        <w:ind w:left="36" w:firstLine="0"/>
        <w:contextualSpacing/>
        <w:rPr>
          <w:rFonts w:ascii="Times New Roman" w:hAnsi="Times New Roman" w:cs="Times New Roman"/>
          <w:color w:val="auto"/>
          <w:sz w:val="24"/>
          <w:szCs w:val="24"/>
        </w:rPr>
      </w:pPr>
    </w:p>
    <w:p w14:paraId="7CEF1F9F">
      <w:pPr>
        <w:pStyle w:val="98"/>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98"/>
        <w:spacing w:before="0" w:after="0" w:line="288" w:lineRule="auto"/>
        <w:ind w:left="36" w:firstLine="0"/>
        <w:contextualSpacing/>
        <w:rPr>
          <w:rFonts w:ascii="Times New Roman" w:hAnsi="Times New Roman" w:cs="Times New Roman"/>
          <w:color w:val="auto"/>
          <w:sz w:val="24"/>
          <w:szCs w:val="24"/>
        </w:rPr>
      </w:pPr>
    </w:p>
    <w:p w14:paraId="3AB9A952">
      <w:pPr>
        <w:pStyle w:val="100"/>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98"/>
        <w:spacing w:before="0" w:after="0" w:line="288" w:lineRule="auto"/>
        <w:ind w:left="0" w:firstLine="567"/>
        <w:contextualSpacing/>
        <w:rPr>
          <w:rFonts w:ascii="Times New Roman" w:hAnsi="Times New Roman" w:cs="Times New Roman"/>
          <w:i/>
          <w:iCs/>
          <w:color w:val="FF0000"/>
          <w:sz w:val="24"/>
          <w:szCs w:val="24"/>
        </w:rPr>
      </w:pPr>
    </w:p>
    <w:p w14:paraId="018800DF">
      <w:pPr>
        <w:pStyle w:val="98"/>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75255937">
      <w:pPr>
        <w:spacing w:line="288" w:lineRule="auto"/>
        <w:ind w:firstLine="567"/>
        <w:contextualSpacing/>
        <w:jc w:val="center"/>
        <w:rPr>
          <w:bCs/>
          <w:sz w:val="24"/>
          <w:szCs w:val="24"/>
        </w:rPr>
      </w:pPr>
    </w:p>
    <w:p w14:paraId="18BDE4D6">
      <w:pPr>
        <w:spacing w:line="288" w:lineRule="auto"/>
        <w:ind w:firstLine="567"/>
        <w:contextualSpacing/>
        <w:jc w:val="center"/>
        <w:rPr>
          <w:bCs/>
          <w:sz w:val="24"/>
          <w:szCs w:val="24"/>
        </w:rPr>
      </w:pPr>
    </w:p>
    <w:p w14:paraId="1BF0733F">
      <w:pPr>
        <w:spacing w:line="288" w:lineRule="auto"/>
        <w:ind w:firstLine="567"/>
        <w:contextualSpacing/>
        <w:jc w:val="center"/>
        <w:rPr>
          <w:bCs/>
          <w:sz w:val="24"/>
          <w:szCs w:val="24"/>
        </w:rPr>
      </w:pPr>
      <w:r>
        <w:rPr>
          <w:bCs/>
          <w:sz w:val="24"/>
          <w:szCs w:val="24"/>
        </w:rPr>
        <w:t>_________________________</w:t>
      </w:r>
    </w:p>
    <w:p w14:paraId="2FC81F28">
      <w:pPr>
        <w:spacing w:line="288" w:lineRule="auto"/>
        <w:ind w:firstLine="567"/>
        <w:contextualSpacing/>
        <w:jc w:val="center"/>
        <w:rPr>
          <w:sz w:val="24"/>
          <w:szCs w:val="24"/>
        </w:rPr>
      </w:pPr>
      <w:r>
        <w:rPr>
          <w:sz w:val="24"/>
          <w:szCs w:val="24"/>
        </w:rPr>
        <w:t>XXXX</w:t>
      </w:r>
    </w:p>
    <w:p w14:paraId="01C3EBB2">
      <w:pPr>
        <w:spacing w:line="288" w:lineRule="auto"/>
        <w:ind w:firstLine="567"/>
        <w:contextualSpacing/>
        <w:jc w:val="center"/>
        <w:rPr>
          <w:bCs/>
          <w:sz w:val="24"/>
          <w:szCs w:val="24"/>
        </w:rPr>
      </w:pPr>
      <w:r>
        <w:rPr>
          <w:sz w:val="24"/>
          <w:szCs w:val="24"/>
        </w:rPr>
        <w:t>Secretário Municipal de Saúde</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061793B9">
      <w:pPr>
        <w:spacing w:line="288" w:lineRule="auto"/>
        <w:ind w:firstLine="567"/>
        <w:contextualSpacing/>
        <w:jc w:val="center"/>
        <w:rPr>
          <w:sz w:val="24"/>
          <w:szCs w:val="24"/>
        </w:rPr>
      </w:pPr>
    </w:p>
    <w:p w14:paraId="051C0590">
      <w:pPr>
        <w:spacing w:line="288" w:lineRule="auto"/>
        <w:ind w:firstLine="567"/>
        <w:contextualSpacing/>
        <w:jc w:val="center"/>
        <w:rPr>
          <w:sz w:val="24"/>
          <w:szCs w:val="24"/>
        </w:rPr>
      </w:pP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126EB957">
      <w:pPr>
        <w:rPr>
          <w:sz w:val="24"/>
          <w:szCs w:val="24"/>
        </w:rPr>
      </w:pPr>
    </w:p>
    <w:p w14:paraId="7E3DC760">
      <w:pPr>
        <w:ind w:firstLine="142"/>
        <w:rPr>
          <w:sz w:val="24"/>
          <w:szCs w:val="24"/>
        </w:rPr>
      </w:pPr>
    </w:p>
    <w:p w14:paraId="23169F2B">
      <w:pPr>
        <w:ind w:firstLine="142"/>
        <w:jc w:val="center"/>
        <w:rPr>
          <w:b/>
          <w:bCs/>
          <w:sz w:val="24"/>
          <w:szCs w:val="24"/>
        </w:rPr>
      </w:pPr>
      <w:r>
        <w:rPr>
          <w:b/>
          <w:bCs/>
          <w:sz w:val="24"/>
          <w:szCs w:val="24"/>
        </w:rPr>
        <w:t>ANEXO VII</w:t>
      </w:r>
    </w:p>
    <w:p w14:paraId="6B847701">
      <w:pPr>
        <w:ind w:firstLine="142"/>
        <w:jc w:val="center"/>
        <w:rPr>
          <w:b/>
          <w:bCs/>
          <w:sz w:val="24"/>
          <w:szCs w:val="24"/>
        </w:rPr>
      </w:pPr>
    </w:p>
    <w:p w14:paraId="35E500AD">
      <w:pPr>
        <w:pStyle w:val="20"/>
        <w:spacing w:line="360" w:lineRule="auto"/>
        <w:ind w:right="-285" w:firstLine="142"/>
        <w:jc w:val="center"/>
        <w:rPr>
          <w:rFonts w:ascii="Times New Roman" w:hAnsi="Times New Roman" w:cs="Times New Roman"/>
          <w:b/>
          <w:u w:val="single"/>
        </w:rPr>
      </w:pPr>
      <w:r>
        <w:rPr>
          <w:rFonts w:ascii="Times New Roman" w:hAnsi="Times New Roman" w:cs="Times New Roman"/>
          <w:b/>
          <w:highlight w:val="yellow"/>
          <w:u w:val="single"/>
        </w:rPr>
        <w:t>DECLARAÇÃO DE RESPONSABILIZAÇÃO CIVIL E ADMINISTRATIVA</w:t>
      </w:r>
    </w:p>
    <w:p w14:paraId="2D57AE56">
      <w:pPr>
        <w:pStyle w:val="20"/>
        <w:spacing w:line="360" w:lineRule="auto"/>
        <w:ind w:right="-285" w:firstLine="142"/>
        <w:jc w:val="center"/>
        <w:rPr>
          <w:rFonts w:ascii="Times New Roman" w:hAnsi="Times New Roman" w:cs="Times New Roman"/>
        </w:rPr>
      </w:pPr>
    </w:p>
    <w:p w14:paraId="17C7E9A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20"/>
        <w:spacing w:line="360" w:lineRule="auto"/>
        <w:ind w:right="-285" w:firstLine="142"/>
        <w:jc w:val="center"/>
        <w:rPr>
          <w:rFonts w:ascii="Times New Roman" w:hAnsi="Times New Roman" w:cs="Times New Roman"/>
        </w:rPr>
      </w:pPr>
    </w:p>
    <w:p w14:paraId="1F4BCB24">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20"/>
        <w:spacing w:line="360" w:lineRule="auto"/>
        <w:ind w:right="-285" w:firstLine="142"/>
        <w:jc w:val="center"/>
        <w:rPr>
          <w:rFonts w:ascii="Times New Roman" w:hAnsi="Times New Roman" w:cs="Times New Roman"/>
        </w:rPr>
      </w:pPr>
    </w:p>
    <w:p w14:paraId="1F581539">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20"/>
        <w:spacing w:line="360" w:lineRule="auto"/>
        <w:ind w:right="-285" w:firstLine="142"/>
        <w:jc w:val="center"/>
        <w:rPr>
          <w:rFonts w:ascii="Times New Roman" w:hAnsi="Times New Roman" w:cs="Times New Roman"/>
        </w:rPr>
      </w:pPr>
    </w:p>
    <w:p w14:paraId="68D99209">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20"/>
        <w:spacing w:line="360" w:lineRule="auto"/>
        <w:ind w:right="-285" w:firstLine="142"/>
        <w:jc w:val="center"/>
        <w:rPr>
          <w:rFonts w:ascii="Times New Roman" w:hAnsi="Times New Roman" w:cs="Times New Roman"/>
        </w:rPr>
      </w:pPr>
    </w:p>
    <w:p w14:paraId="6FDE8502">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20"/>
        <w:ind w:right="-284" w:firstLine="142"/>
        <w:jc w:val="center"/>
        <w:rPr>
          <w:rFonts w:ascii="Times New Roman" w:hAnsi="Times New Roman" w:cs="Times New Roman"/>
        </w:rPr>
      </w:pPr>
      <w:r>
        <w:rPr>
          <w:rFonts w:ascii="Times New Roman" w:hAnsi="Times New Roman" w:cs="Times New Roman"/>
        </w:rPr>
        <w:t>AGENTE PÚBLICO</w:t>
      </w:r>
    </w:p>
    <w:p w14:paraId="40AA8B6A">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20"/>
        <w:spacing w:line="360" w:lineRule="auto"/>
        <w:rPr>
          <w:rFonts w:ascii="Times New Roman" w:hAnsi="Times New Roman" w:cs="Times New Roman"/>
        </w:rPr>
      </w:pPr>
    </w:p>
    <w:p w14:paraId="5A84A1BF">
      <w:pPr>
        <w:pStyle w:val="2"/>
        <w:rPr>
          <w:sz w:val="24"/>
          <w:szCs w:val="24"/>
        </w:rPr>
      </w:pPr>
    </w:p>
    <w:p w14:paraId="2D3DF16F">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20"/>
        <w:spacing w:line="360" w:lineRule="auto"/>
        <w:ind w:right="-285" w:firstLine="142"/>
        <w:jc w:val="center"/>
        <w:rPr>
          <w:rFonts w:ascii="Times New Roman" w:hAnsi="Times New Roman" w:cs="Times New Roman"/>
        </w:rPr>
      </w:pPr>
    </w:p>
    <w:p w14:paraId="405C74FA">
      <w:pPr>
        <w:pStyle w:val="20"/>
        <w:spacing w:line="360" w:lineRule="auto"/>
        <w:ind w:right="-285" w:firstLine="142"/>
        <w:jc w:val="center"/>
        <w:rPr>
          <w:rFonts w:ascii="Times New Roman" w:hAnsi="Times New Roman" w:cs="Times New Roman"/>
        </w:rPr>
      </w:pPr>
    </w:p>
    <w:p w14:paraId="36006C0B">
      <w:pPr>
        <w:pStyle w:val="20"/>
        <w:spacing w:line="360" w:lineRule="auto"/>
        <w:ind w:right="-285" w:firstLine="142"/>
        <w:jc w:val="center"/>
        <w:rPr>
          <w:rFonts w:ascii="Times New Roman" w:hAnsi="Times New Roman" w:cs="Times New Roman"/>
        </w:rPr>
      </w:pPr>
    </w:p>
    <w:p w14:paraId="493DB7F0">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20"/>
        <w:ind w:right="-284" w:firstLine="142"/>
        <w:jc w:val="center"/>
        <w:rPr>
          <w:rFonts w:ascii="Times New Roman" w:hAnsi="Times New Roman" w:cs="Times New Roman"/>
        </w:rPr>
      </w:pPr>
      <w:r>
        <w:rPr>
          <w:rFonts w:ascii="Times New Roman" w:hAnsi="Times New Roman" w:cs="Times New Roman"/>
        </w:rPr>
        <w:t>CONTRATADA</w:t>
      </w:r>
    </w:p>
    <w:p w14:paraId="5756839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20"/>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20"/>
        <w:ind w:right="-284" w:firstLine="142"/>
        <w:jc w:val="center"/>
        <w:rPr>
          <w:rFonts w:ascii="Times New Roman" w:hAnsi="Times New Roman" w:cs="Times New Roman"/>
          <w:b/>
          <w:color w:val="000000"/>
        </w:rPr>
      </w:pPr>
    </w:p>
    <w:p w14:paraId="5AC87FF5">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20"/>
        <w:ind w:right="-284" w:firstLine="142"/>
        <w:jc w:val="center"/>
        <w:rPr>
          <w:rFonts w:ascii="Times New Roman" w:hAnsi="Times New Roman" w:cs="Times New Roman"/>
        </w:rPr>
      </w:pPr>
      <w:r>
        <w:rPr>
          <w:rFonts w:ascii="Times New Roman" w:hAnsi="Times New Roman" w:cs="Times New Roman"/>
        </w:rPr>
        <w:t>CONTRATADA</w:t>
      </w:r>
    </w:p>
    <w:p w14:paraId="286A53D8">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20"/>
        <w:ind w:right="-284"/>
        <w:rPr>
          <w:rFonts w:ascii="Times New Roman" w:hAnsi="Times New Roman" w:cs="Times New Roman"/>
        </w:rPr>
      </w:pPr>
    </w:p>
    <w:p w14:paraId="6E682EDB">
      <w:pPr>
        <w:pStyle w:val="20"/>
        <w:ind w:right="-284" w:firstLine="142"/>
        <w:jc w:val="center"/>
        <w:rPr>
          <w:rFonts w:ascii="Times New Roman" w:hAnsi="Times New Roman" w:cs="Times New Roman"/>
        </w:rPr>
      </w:pPr>
    </w:p>
    <w:p w14:paraId="13BDC093">
      <w:pPr>
        <w:pStyle w:val="20"/>
        <w:ind w:right="-284" w:firstLine="142"/>
        <w:jc w:val="center"/>
        <w:rPr>
          <w:rFonts w:ascii="Times New Roman" w:hAnsi="Times New Roman" w:cs="Times New Roman"/>
          <w:b/>
        </w:rPr>
      </w:pPr>
    </w:p>
    <w:p w14:paraId="0A2AC787">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59"/>
        <w:rPr>
          <w:rFonts w:ascii="Times New Roman" w:hAnsi="Times New Roman" w:cs="Times New Roman"/>
        </w:rPr>
      </w:pPr>
    </w:p>
    <w:p w14:paraId="6595B656">
      <w:pPr>
        <w:pStyle w:val="59"/>
        <w:rPr>
          <w:rFonts w:ascii="Times New Roman" w:hAnsi="Times New Roman" w:cs="Times New Roman"/>
        </w:rPr>
      </w:pPr>
      <w:r>
        <w:rPr>
          <w:rFonts w:ascii="Times New Roman" w:hAnsi="Times New Roman" w:cs="Times New Roman"/>
        </w:rPr>
        <w:t>(em papel timbrado da empresa)</w:t>
      </w:r>
    </w:p>
    <w:p w14:paraId="3B80EF63">
      <w:pPr>
        <w:pStyle w:val="59"/>
        <w:rPr>
          <w:rFonts w:ascii="Times New Roman" w:hAnsi="Times New Roman" w:cs="Times New Roman"/>
        </w:rPr>
      </w:pPr>
    </w:p>
    <w:p w14:paraId="5C6C8341">
      <w:pPr>
        <w:pStyle w:val="59"/>
        <w:rPr>
          <w:rFonts w:ascii="Times New Roman" w:hAnsi="Times New Roman" w:cs="Times New Roman"/>
        </w:rPr>
      </w:pPr>
    </w:p>
    <w:p w14:paraId="49F429BB">
      <w:pPr>
        <w:pStyle w:val="59"/>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59"/>
        <w:rPr>
          <w:rFonts w:ascii="Times New Roman" w:hAnsi="Times New Roman" w:cs="Times New Roman"/>
        </w:rPr>
      </w:pPr>
    </w:p>
    <w:p w14:paraId="76109AD6">
      <w:pPr>
        <w:pStyle w:val="59"/>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59"/>
        <w:rPr>
          <w:rFonts w:ascii="Times New Roman" w:hAnsi="Times New Roman" w:cs="Times New Roman"/>
        </w:rPr>
      </w:pPr>
    </w:p>
    <w:p w14:paraId="0649E73C">
      <w:pPr>
        <w:pStyle w:val="59"/>
        <w:rPr>
          <w:rFonts w:ascii="Times New Roman" w:hAnsi="Times New Roman" w:cs="Times New Roman"/>
        </w:rPr>
      </w:pPr>
    </w:p>
    <w:p w14:paraId="5C388F3C">
      <w:pPr>
        <w:pStyle w:val="59"/>
        <w:rPr>
          <w:rFonts w:ascii="Times New Roman" w:hAnsi="Times New Roman" w:cs="Times New Roman"/>
        </w:rPr>
      </w:pPr>
    </w:p>
    <w:p w14:paraId="00DBD19C">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20"/>
        <w:ind w:right="-284" w:firstLine="142"/>
        <w:jc w:val="center"/>
        <w:rPr>
          <w:rFonts w:ascii="Times New Roman" w:hAnsi="Times New Roman" w:cs="Times New Roman"/>
        </w:rPr>
      </w:pPr>
    </w:p>
    <w:p w14:paraId="353275B0">
      <w:pPr>
        <w:pStyle w:val="20"/>
        <w:ind w:right="-284" w:firstLine="142"/>
        <w:jc w:val="center"/>
        <w:rPr>
          <w:rFonts w:ascii="Times New Roman" w:hAnsi="Times New Roman" w:cs="Times New Roman"/>
        </w:rPr>
      </w:pPr>
    </w:p>
    <w:p w14:paraId="6BD9B724">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20"/>
        <w:ind w:right="-284" w:firstLine="142"/>
        <w:jc w:val="center"/>
        <w:rPr>
          <w:rFonts w:ascii="Times New Roman" w:hAnsi="Times New Roman" w:cs="Times New Roman"/>
        </w:rPr>
      </w:pPr>
      <w:r>
        <w:rPr>
          <w:rFonts w:ascii="Times New Roman" w:hAnsi="Times New Roman" w:cs="Times New Roman"/>
        </w:rPr>
        <w:t>CONTRATADA</w:t>
      </w:r>
    </w:p>
    <w:p w14:paraId="1BCF0E7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20"/>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59"/>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20"/>
        <w:ind w:right="-284" w:firstLine="142"/>
        <w:jc w:val="center"/>
        <w:rPr>
          <w:rFonts w:ascii="Times New Roman" w:hAnsi="Times New Roman" w:cs="Times New Roman"/>
        </w:rPr>
      </w:pPr>
      <w:r>
        <w:rPr>
          <w:rFonts w:ascii="Times New Roman" w:hAnsi="Times New Roman" w:cs="Times New Roman"/>
        </w:rPr>
        <w:t>CONTRATADA</w:t>
      </w:r>
    </w:p>
    <w:p w14:paraId="4B1F279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20"/>
        <w:ind w:right="-284" w:firstLine="142"/>
        <w:jc w:val="center"/>
        <w:rPr>
          <w:rFonts w:ascii="Times New Roman" w:hAnsi="Times New Roman" w:cs="Times New Roman"/>
        </w:rPr>
      </w:pPr>
    </w:p>
    <w:p w14:paraId="49AA916C">
      <w:pPr>
        <w:pStyle w:val="59"/>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20"/>
        <w:ind w:right="-284" w:firstLine="142"/>
        <w:jc w:val="center"/>
        <w:rPr>
          <w:rFonts w:ascii="Times New Roman" w:hAnsi="Times New Roman" w:cs="Times New Roman"/>
        </w:rPr>
      </w:pPr>
      <w:r>
        <w:rPr>
          <w:rFonts w:ascii="Times New Roman" w:hAnsi="Times New Roman" w:cs="Times New Roman"/>
        </w:rPr>
        <w:t>CONTRATADA</w:t>
      </w:r>
    </w:p>
    <w:p w14:paraId="5D2C3602">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20"/>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3" w:type="default"/>
      <w:footerReference r:id="rId4"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auto"/>
    <w:pitch w:val="default"/>
    <w:sig w:usb0="00000000" w:usb1="00000000" w:usb2="00000000" w:usb3="00000000" w:csb0="00000000" w:csb1="00000000"/>
  </w:font>
  <w:font w:name="Liberation Serif">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Wingdings">
    <w:panose1 w:val="05000000000000000000"/>
    <w:charset w:val="02"/>
    <w:family w:val="auto"/>
    <w:pitch w:val="default"/>
    <w:sig w:usb0="00000000" w:usb1="00000000" w:usb2="00000000" w:usb3="00000000" w:csb0="80000000" w:csb1="00000000"/>
  </w:font>
  <w:font w:name="MontserratThin">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 Antiqua">
    <w:panose1 w:val="02040602050305030304"/>
    <w:charset w:val="00"/>
    <w:family w:val="roman"/>
    <w:pitch w:val="default"/>
    <w:sig w:usb0="00000287"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2092542"/>
      <w:docPartObj>
        <w:docPartGallery w:val="AutoText"/>
      </w:docPartObj>
    </w:sdtPr>
    <w:sdtContent>
      <w:p w14:paraId="4E871E12">
        <w:pPr>
          <w:pStyle w:val="29"/>
          <w:jc w:val="right"/>
        </w:pPr>
        <w:r>
          <w:fldChar w:fldCharType="begin"/>
        </w:r>
        <w:r>
          <w:instrText xml:space="preserve">PAGE   \* MERGEFORMAT</w:instrText>
        </w:r>
        <w:r>
          <w:fldChar w:fldCharType="separate"/>
        </w:r>
        <w:r>
          <w:t>1</w:t>
        </w:r>
        <w:r>
          <w:fldChar w:fldCharType="end"/>
        </w:r>
      </w:p>
    </w:sdtContent>
  </w:sdt>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75C4">
    <w:pPr>
      <w:pStyle w:val="27"/>
      <w:tabs>
        <w:tab w:val="center" w:pos="2127"/>
      </w:tabs>
      <w:rPr>
        <w:rFonts w:ascii="Book Antiqua" w:hAnsi="Book Antiqua"/>
        <w:b/>
        <w:sz w:val="28"/>
        <w:szCs w:val="28"/>
      </w:rPr>
    </w:pPr>
  </w:p>
  <w:p w14:paraId="52335529">
    <w:pPr>
      <w:pStyle w:val="27"/>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222092CA">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663B8DD8">
      <w:tblPrEx>
        <w:tblCellMar>
          <w:top w:w="0" w:type="dxa"/>
          <w:left w:w="108" w:type="dxa"/>
          <w:bottom w:w="0" w:type="dxa"/>
          <w:right w:w="108" w:type="dxa"/>
        </w:tblCellMar>
      </w:tblPrEx>
      <w:trPr>
        <w:cantSplit/>
        <w:trHeight w:val="192" w:hRule="atLeast"/>
      </w:trPr>
      <w:tc>
        <w:tcPr>
          <w:tcW w:w="945" w:type="dxa"/>
        </w:tcPr>
        <w:p w14:paraId="1047C079">
          <w:pPr>
            <w:pStyle w:val="27"/>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7"/>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108" w:type="dxa"/>
          <w:bottom w:w="0" w:type="dxa"/>
          <w:right w:w="108"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941A1"/>
    <w:multiLevelType w:val="multilevel"/>
    <w:tmpl w:val="B15941A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D975B016"/>
    <w:multiLevelType w:val="singleLevel"/>
    <w:tmpl w:val="D975B016"/>
    <w:lvl w:ilvl="0" w:tentative="0">
      <w:start w:val="1"/>
      <w:numFmt w:val="decimal"/>
      <w:suff w:val="space"/>
      <w:lvlText w:val="%1-"/>
      <w:lvlJc w:val="left"/>
    </w:lvl>
  </w:abstractNum>
  <w:abstractNum w:abstractNumId="2">
    <w:nsid w:val="F2203EBA"/>
    <w:multiLevelType w:val="singleLevel"/>
    <w:tmpl w:val="F2203EBA"/>
    <w:lvl w:ilvl="0" w:tentative="0">
      <w:start w:val="13"/>
      <w:numFmt w:val="decimal"/>
      <w:suff w:val="space"/>
      <w:lvlText w:val="%1-"/>
      <w:lvlJc w:val="left"/>
    </w:lvl>
  </w:abstractNum>
  <w:abstractNum w:abstractNumId="3">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4">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5">
    <w:nsid w:val="1D5C100D"/>
    <w:multiLevelType w:val="multilevel"/>
    <w:tmpl w:val="1D5C100D"/>
    <w:lvl w:ilvl="0" w:tentative="0">
      <w:start w:val="3"/>
      <w:numFmt w:val="decimal"/>
      <w:pStyle w:val="106"/>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2CD241C4"/>
    <w:multiLevelType w:val="multilevel"/>
    <w:tmpl w:val="2CD241C4"/>
    <w:lvl w:ilvl="0" w:tentative="0">
      <w:start w:val="1"/>
      <w:numFmt w:val="decimal"/>
      <w:lvlText w:val="%1"/>
      <w:lvlJc w:val="left"/>
      <w:pPr>
        <w:ind w:left="360" w:hanging="360"/>
      </w:pPr>
      <w:rPr>
        <w:rFonts w:hint="default" w:eastAsia="Calibri"/>
      </w:rPr>
    </w:lvl>
    <w:lvl w:ilvl="1" w:tentative="0">
      <w:start w:val="1"/>
      <w:numFmt w:val="decimal"/>
      <w:lvlText w:val="%1.%2"/>
      <w:lvlJc w:val="left"/>
      <w:pPr>
        <w:ind w:left="360" w:hanging="360"/>
      </w:pPr>
      <w:rPr>
        <w:rFonts w:hint="default" w:eastAsia="Calibri"/>
      </w:rPr>
    </w:lvl>
    <w:lvl w:ilvl="2" w:tentative="0">
      <w:start w:val="1"/>
      <w:numFmt w:val="decimal"/>
      <w:lvlText w:val="%1.%2.%3"/>
      <w:lvlJc w:val="left"/>
      <w:pPr>
        <w:ind w:left="720" w:hanging="720"/>
      </w:pPr>
      <w:rPr>
        <w:rFonts w:hint="default" w:eastAsia="Calibri"/>
      </w:rPr>
    </w:lvl>
    <w:lvl w:ilvl="3" w:tentative="0">
      <w:start w:val="1"/>
      <w:numFmt w:val="decimal"/>
      <w:lvlText w:val="%1.%2.%3.%4"/>
      <w:lvlJc w:val="left"/>
      <w:pPr>
        <w:ind w:left="720" w:hanging="720"/>
      </w:pPr>
      <w:rPr>
        <w:rFonts w:hint="default" w:eastAsia="Calibri"/>
      </w:rPr>
    </w:lvl>
    <w:lvl w:ilvl="4" w:tentative="0">
      <w:start w:val="1"/>
      <w:numFmt w:val="decimal"/>
      <w:lvlText w:val="%1.%2.%3.%4.%5"/>
      <w:lvlJc w:val="left"/>
      <w:pPr>
        <w:ind w:left="1080" w:hanging="1080"/>
      </w:pPr>
      <w:rPr>
        <w:rFonts w:hint="default" w:eastAsia="Calibri"/>
      </w:rPr>
    </w:lvl>
    <w:lvl w:ilvl="5" w:tentative="0">
      <w:start w:val="1"/>
      <w:numFmt w:val="decimal"/>
      <w:lvlText w:val="%1.%2.%3.%4.%5.%6"/>
      <w:lvlJc w:val="left"/>
      <w:pPr>
        <w:ind w:left="1080" w:hanging="1080"/>
      </w:pPr>
      <w:rPr>
        <w:rFonts w:hint="default" w:eastAsia="Calibri"/>
      </w:rPr>
    </w:lvl>
    <w:lvl w:ilvl="6" w:tentative="0">
      <w:start w:val="1"/>
      <w:numFmt w:val="decimal"/>
      <w:lvlText w:val="%1.%2.%3.%4.%5.%6.%7"/>
      <w:lvlJc w:val="left"/>
      <w:pPr>
        <w:ind w:left="1440" w:hanging="1440"/>
      </w:pPr>
      <w:rPr>
        <w:rFonts w:hint="default" w:eastAsia="Calibri"/>
      </w:rPr>
    </w:lvl>
    <w:lvl w:ilvl="7" w:tentative="0">
      <w:start w:val="1"/>
      <w:numFmt w:val="decimal"/>
      <w:lvlText w:val="%1.%2.%3.%4.%5.%6.%7.%8"/>
      <w:lvlJc w:val="left"/>
      <w:pPr>
        <w:ind w:left="1440" w:hanging="1440"/>
      </w:pPr>
      <w:rPr>
        <w:rFonts w:hint="default" w:eastAsia="Calibri"/>
      </w:rPr>
    </w:lvl>
    <w:lvl w:ilvl="8" w:tentative="0">
      <w:start w:val="1"/>
      <w:numFmt w:val="decimal"/>
      <w:lvlText w:val="%1.%2.%3.%4.%5.%6.%7.%8.%9"/>
      <w:lvlJc w:val="left"/>
      <w:pPr>
        <w:ind w:left="1800" w:hanging="1800"/>
      </w:pPr>
      <w:rPr>
        <w:rFonts w:hint="default" w:eastAsia="Calibri"/>
      </w:rPr>
    </w:lvl>
  </w:abstractNum>
  <w:abstractNum w:abstractNumId="7">
    <w:nsid w:val="46085681"/>
    <w:multiLevelType w:val="multilevel"/>
    <w:tmpl w:val="46085681"/>
    <w:lvl w:ilvl="0" w:tentative="0">
      <w:start w:val="1"/>
      <w:numFmt w:val="decimal"/>
      <w:pStyle w:val="141"/>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8">
    <w:nsid w:val="61DD361E"/>
    <w:multiLevelType w:val="multilevel"/>
    <w:tmpl w:val="61DD361E"/>
    <w:lvl w:ilvl="0" w:tentative="0">
      <w:start w:val="1"/>
      <w:numFmt w:val="decimal"/>
      <w:pStyle w:val="104"/>
      <w:lvlText w:val="%1."/>
      <w:lvlJc w:val="left"/>
      <w:pPr>
        <w:ind w:left="502" w:hanging="360"/>
      </w:pPr>
      <w:rPr>
        <w:rFonts w:hint="default"/>
        <w:b/>
        <w:i w:val="0"/>
      </w:rPr>
    </w:lvl>
    <w:lvl w:ilvl="1" w:tentative="0">
      <w:start w:val="1"/>
      <w:numFmt w:val="decimal"/>
      <w:pStyle w:val="107"/>
      <w:suff w:val="space"/>
      <w:lvlText w:val="%1.%2."/>
      <w:lvlJc w:val="left"/>
      <w:pPr>
        <w:ind w:left="851" w:firstLine="0"/>
      </w:pPr>
      <w:rPr>
        <w:rFonts w:hint="default"/>
        <w:b w:val="0"/>
        <w:i w:val="0"/>
        <w:color w:val="auto"/>
      </w:rPr>
    </w:lvl>
    <w:lvl w:ilvl="2" w:tentative="0">
      <w:start w:val="1"/>
      <w:numFmt w:val="decimal"/>
      <w:pStyle w:val="109"/>
      <w:suff w:val="space"/>
      <w:lvlText w:val="%1.%2.%3."/>
      <w:lvlJc w:val="left"/>
      <w:pPr>
        <w:ind w:left="1135" w:firstLine="0"/>
      </w:pPr>
      <w:rPr>
        <w:rFonts w:hint="default"/>
        <w:b w:val="0"/>
        <w:i w:val="0"/>
        <w:color w:val="auto"/>
        <w:sz w:val="20"/>
        <w:szCs w:val="20"/>
      </w:rPr>
    </w:lvl>
    <w:lvl w:ilvl="3" w:tentative="0">
      <w:start w:val="1"/>
      <w:numFmt w:val="decimal"/>
      <w:pStyle w:val="111"/>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9">
    <w:nsid w:val="6331FB41"/>
    <w:multiLevelType w:val="multilevel"/>
    <w:tmpl w:val="6331FB4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3"/>
  </w:num>
  <w:num w:numId="2">
    <w:abstractNumId w:val="8"/>
  </w:num>
  <w:num w:numId="3">
    <w:abstractNumId w:val="5"/>
  </w:num>
  <w:num w:numId="4">
    <w:abstractNumId w:val="7"/>
  </w:num>
  <w:num w:numId="5">
    <w:abstractNumId w:val="4"/>
  </w:num>
  <w:num w:numId="6">
    <w:abstractNumId w:val="9"/>
  </w:num>
  <w:num w:numId="7">
    <w:abstractNumId w:val="0"/>
  </w:num>
  <w:num w:numId="8">
    <w:abstractNumId w:val="1"/>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EA9"/>
    <w:rsid w:val="00002B55"/>
    <w:rsid w:val="00005F0C"/>
    <w:rsid w:val="0001108A"/>
    <w:rsid w:val="00031280"/>
    <w:rsid w:val="000337DD"/>
    <w:rsid w:val="00042D77"/>
    <w:rsid w:val="00047543"/>
    <w:rsid w:val="00052E80"/>
    <w:rsid w:val="0005496D"/>
    <w:rsid w:val="00060850"/>
    <w:rsid w:val="00065CF2"/>
    <w:rsid w:val="00084938"/>
    <w:rsid w:val="00085292"/>
    <w:rsid w:val="00093103"/>
    <w:rsid w:val="000978D1"/>
    <w:rsid w:val="00097E4D"/>
    <w:rsid w:val="000C3FF4"/>
    <w:rsid w:val="000D5D21"/>
    <w:rsid w:val="000E355F"/>
    <w:rsid w:val="000F418D"/>
    <w:rsid w:val="000F5CF3"/>
    <w:rsid w:val="00117C41"/>
    <w:rsid w:val="001256EF"/>
    <w:rsid w:val="00126417"/>
    <w:rsid w:val="00126C9A"/>
    <w:rsid w:val="00132AF6"/>
    <w:rsid w:val="00134E13"/>
    <w:rsid w:val="00136938"/>
    <w:rsid w:val="00160D9C"/>
    <w:rsid w:val="00166543"/>
    <w:rsid w:val="0017474E"/>
    <w:rsid w:val="00180B8B"/>
    <w:rsid w:val="00194F56"/>
    <w:rsid w:val="00197CAC"/>
    <w:rsid w:val="001C13C8"/>
    <w:rsid w:val="001C22A8"/>
    <w:rsid w:val="001C5351"/>
    <w:rsid w:val="001C53A2"/>
    <w:rsid w:val="001D0FD5"/>
    <w:rsid w:val="001D7B8A"/>
    <w:rsid w:val="001E6C6E"/>
    <w:rsid w:val="001F6345"/>
    <w:rsid w:val="0021752F"/>
    <w:rsid w:val="00227F05"/>
    <w:rsid w:val="002300D2"/>
    <w:rsid w:val="00237ABD"/>
    <w:rsid w:val="00240649"/>
    <w:rsid w:val="00243228"/>
    <w:rsid w:val="0024684C"/>
    <w:rsid w:val="00256763"/>
    <w:rsid w:val="00261F0F"/>
    <w:rsid w:val="00263F8F"/>
    <w:rsid w:val="00281726"/>
    <w:rsid w:val="0028405A"/>
    <w:rsid w:val="00297107"/>
    <w:rsid w:val="002C02A8"/>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B6185"/>
    <w:rsid w:val="003B76DC"/>
    <w:rsid w:val="003C606F"/>
    <w:rsid w:val="003D022A"/>
    <w:rsid w:val="003D05A9"/>
    <w:rsid w:val="003D177A"/>
    <w:rsid w:val="003D2EA0"/>
    <w:rsid w:val="003E6590"/>
    <w:rsid w:val="003F0949"/>
    <w:rsid w:val="003F306E"/>
    <w:rsid w:val="004068F8"/>
    <w:rsid w:val="0041299D"/>
    <w:rsid w:val="0041560B"/>
    <w:rsid w:val="00415D44"/>
    <w:rsid w:val="00416F76"/>
    <w:rsid w:val="00420256"/>
    <w:rsid w:val="004253EA"/>
    <w:rsid w:val="00427E1E"/>
    <w:rsid w:val="00454E42"/>
    <w:rsid w:val="0047114A"/>
    <w:rsid w:val="00476260"/>
    <w:rsid w:val="004864FC"/>
    <w:rsid w:val="0049763F"/>
    <w:rsid w:val="00497AF6"/>
    <w:rsid w:val="004A5906"/>
    <w:rsid w:val="004B2551"/>
    <w:rsid w:val="004C63EB"/>
    <w:rsid w:val="004D591E"/>
    <w:rsid w:val="004F7BBD"/>
    <w:rsid w:val="00526AAD"/>
    <w:rsid w:val="00541C53"/>
    <w:rsid w:val="00543E09"/>
    <w:rsid w:val="0055320B"/>
    <w:rsid w:val="005633E2"/>
    <w:rsid w:val="00565277"/>
    <w:rsid w:val="00565B68"/>
    <w:rsid w:val="00567642"/>
    <w:rsid w:val="00575228"/>
    <w:rsid w:val="00585FDB"/>
    <w:rsid w:val="0058624E"/>
    <w:rsid w:val="005A018E"/>
    <w:rsid w:val="005A71A5"/>
    <w:rsid w:val="005A7AA0"/>
    <w:rsid w:val="005B7044"/>
    <w:rsid w:val="005C25FD"/>
    <w:rsid w:val="005D24F4"/>
    <w:rsid w:val="005D7DBE"/>
    <w:rsid w:val="005E62EA"/>
    <w:rsid w:val="00601AB8"/>
    <w:rsid w:val="00601FD3"/>
    <w:rsid w:val="006029B7"/>
    <w:rsid w:val="006404C6"/>
    <w:rsid w:val="006454C5"/>
    <w:rsid w:val="00645BB7"/>
    <w:rsid w:val="00680E06"/>
    <w:rsid w:val="0068208C"/>
    <w:rsid w:val="0069470E"/>
    <w:rsid w:val="00695AB8"/>
    <w:rsid w:val="006A3AB0"/>
    <w:rsid w:val="006A4E5F"/>
    <w:rsid w:val="006F462A"/>
    <w:rsid w:val="006F47BB"/>
    <w:rsid w:val="006F6348"/>
    <w:rsid w:val="00706C1F"/>
    <w:rsid w:val="00716721"/>
    <w:rsid w:val="00717B37"/>
    <w:rsid w:val="00721F1E"/>
    <w:rsid w:val="00724210"/>
    <w:rsid w:val="00734030"/>
    <w:rsid w:val="0074505D"/>
    <w:rsid w:val="00750F6E"/>
    <w:rsid w:val="00761EB1"/>
    <w:rsid w:val="0077566C"/>
    <w:rsid w:val="00776682"/>
    <w:rsid w:val="00777538"/>
    <w:rsid w:val="00793A6C"/>
    <w:rsid w:val="0079449F"/>
    <w:rsid w:val="007B2B18"/>
    <w:rsid w:val="007C1CCF"/>
    <w:rsid w:val="007D230E"/>
    <w:rsid w:val="007D54B2"/>
    <w:rsid w:val="007E4CB0"/>
    <w:rsid w:val="007E6E1B"/>
    <w:rsid w:val="0080251D"/>
    <w:rsid w:val="00802B0D"/>
    <w:rsid w:val="008112DD"/>
    <w:rsid w:val="00812B56"/>
    <w:rsid w:val="00814E10"/>
    <w:rsid w:val="00825C70"/>
    <w:rsid w:val="00831C20"/>
    <w:rsid w:val="008407AD"/>
    <w:rsid w:val="008427C3"/>
    <w:rsid w:val="00850EAD"/>
    <w:rsid w:val="008515C8"/>
    <w:rsid w:val="0086051B"/>
    <w:rsid w:val="008623F3"/>
    <w:rsid w:val="008701B1"/>
    <w:rsid w:val="00894B13"/>
    <w:rsid w:val="008977DB"/>
    <w:rsid w:val="008A076D"/>
    <w:rsid w:val="008A1E6F"/>
    <w:rsid w:val="008B08E2"/>
    <w:rsid w:val="008B4D15"/>
    <w:rsid w:val="008C22DA"/>
    <w:rsid w:val="008D0426"/>
    <w:rsid w:val="008D4525"/>
    <w:rsid w:val="008F1FAC"/>
    <w:rsid w:val="008F6AEA"/>
    <w:rsid w:val="008F6FE9"/>
    <w:rsid w:val="00901F2D"/>
    <w:rsid w:val="00910089"/>
    <w:rsid w:val="00910F17"/>
    <w:rsid w:val="00913CAF"/>
    <w:rsid w:val="00916315"/>
    <w:rsid w:val="00916A33"/>
    <w:rsid w:val="009226AB"/>
    <w:rsid w:val="00932B6F"/>
    <w:rsid w:val="0093434F"/>
    <w:rsid w:val="00935D0A"/>
    <w:rsid w:val="009372B0"/>
    <w:rsid w:val="00940051"/>
    <w:rsid w:val="0094245E"/>
    <w:rsid w:val="00946C79"/>
    <w:rsid w:val="00947D72"/>
    <w:rsid w:val="009549D6"/>
    <w:rsid w:val="00956F0C"/>
    <w:rsid w:val="009652F2"/>
    <w:rsid w:val="00970421"/>
    <w:rsid w:val="00981B25"/>
    <w:rsid w:val="009879E2"/>
    <w:rsid w:val="009A1021"/>
    <w:rsid w:val="009A7FA7"/>
    <w:rsid w:val="009B11D6"/>
    <w:rsid w:val="009C087C"/>
    <w:rsid w:val="009D49ED"/>
    <w:rsid w:val="009F67F4"/>
    <w:rsid w:val="00A06FC3"/>
    <w:rsid w:val="00A07671"/>
    <w:rsid w:val="00A07A86"/>
    <w:rsid w:val="00A15306"/>
    <w:rsid w:val="00A17C82"/>
    <w:rsid w:val="00A353DF"/>
    <w:rsid w:val="00A362C3"/>
    <w:rsid w:val="00A41EAE"/>
    <w:rsid w:val="00A55C27"/>
    <w:rsid w:val="00A605C5"/>
    <w:rsid w:val="00A64472"/>
    <w:rsid w:val="00A72AA9"/>
    <w:rsid w:val="00A80F0E"/>
    <w:rsid w:val="00A83DF7"/>
    <w:rsid w:val="00A92A7A"/>
    <w:rsid w:val="00A975FD"/>
    <w:rsid w:val="00AB1451"/>
    <w:rsid w:val="00AC6054"/>
    <w:rsid w:val="00AD43BE"/>
    <w:rsid w:val="00AE5A43"/>
    <w:rsid w:val="00B1344A"/>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5645"/>
    <w:rsid w:val="00BB7EAC"/>
    <w:rsid w:val="00BC6EF3"/>
    <w:rsid w:val="00BE3D2C"/>
    <w:rsid w:val="00BE4911"/>
    <w:rsid w:val="00BE543F"/>
    <w:rsid w:val="00BF5711"/>
    <w:rsid w:val="00C343F9"/>
    <w:rsid w:val="00C42445"/>
    <w:rsid w:val="00C47608"/>
    <w:rsid w:val="00C557EA"/>
    <w:rsid w:val="00C5674C"/>
    <w:rsid w:val="00C87D25"/>
    <w:rsid w:val="00C90C2D"/>
    <w:rsid w:val="00C93727"/>
    <w:rsid w:val="00C97ED5"/>
    <w:rsid w:val="00CC1B49"/>
    <w:rsid w:val="00CD1743"/>
    <w:rsid w:val="00CD4DB6"/>
    <w:rsid w:val="00CE4BEB"/>
    <w:rsid w:val="00CF767F"/>
    <w:rsid w:val="00D03E66"/>
    <w:rsid w:val="00D24215"/>
    <w:rsid w:val="00D27F7C"/>
    <w:rsid w:val="00D30CE0"/>
    <w:rsid w:val="00D9343D"/>
    <w:rsid w:val="00D9648C"/>
    <w:rsid w:val="00DA4283"/>
    <w:rsid w:val="00DA79AE"/>
    <w:rsid w:val="00DB11D9"/>
    <w:rsid w:val="00DF6E52"/>
    <w:rsid w:val="00E06317"/>
    <w:rsid w:val="00E06FC6"/>
    <w:rsid w:val="00E1354B"/>
    <w:rsid w:val="00E15C82"/>
    <w:rsid w:val="00E33BE2"/>
    <w:rsid w:val="00E6632E"/>
    <w:rsid w:val="00E8554F"/>
    <w:rsid w:val="00EA221C"/>
    <w:rsid w:val="00EA5833"/>
    <w:rsid w:val="00EA7423"/>
    <w:rsid w:val="00EB0614"/>
    <w:rsid w:val="00EB2425"/>
    <w:rsid w:val="00EB5C39"/>
    <w:rsid w:val="00EC15C9"/>
    <w:rsid w:val="00ED05C4"/>
    <w:rsid w:val="00ED316C"/>
    <w:rsid w:val="00F111E2"/>
    <w:rsid w:val="00F34C41"/>
    <w:rsid w:val="00F470C6"/>
    <w:rsid w:val="00F53A79"/>
    <w:rsid w:val="00F66C2E"/>
    <w:rsid w:val="00F66D73"/>
    <w:rsid w:val="00F712F8"/>
    <w:rsid w:val="00F72635"/>
    <w:rsid w:val="00F90DC5"/>
    <w:rsid w:val="00F90E27"/>
    <w:rsid w:val="00F92885"/>
    <w:rsid w:val="00FA11B3"/>
    <w:rsid w:val="00FA30F0"/>
    <w:rsid w:val="00FA6874"/>
    <w:rsid w:val="00FC11D4"/>
    <w:rsid w:val="00FD7AE0"/>
    <w:rsid w:val="00FD7C78"/>
    <w:rsid w:val="00FE2E3B"/>
    <w:rsid w:val="00FE4238"/>
    <w:rsid w:val="00FE52A9"/>
    <w:rsid w:val="00FE7355"/>
    <w:rsid w:val="00FF38CF"/>
    <w:rsid w:val="67ED6B8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0" w:semiHidden="0" w:name="header"/>
    <w:lsdException w:qFormat="1"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9"/>
    <w:pPr>
      <w:keepNext/>
      <w:keepLines/>
      <w:spacing w:before="480" w:after="120"/>
      <w:outlineLvl w:val="0"/>
    </w:pPr>
    <w:rPr>
      <w:b/>
      <w:sz w:val="48"/>
      <w:szCs w:val="48"/>
    </w:rPr>
  </w:style>
  <w:style w:type="paragraph" w:styleId="3">
    <w:name w:val="heading 2"/>
    <w:basedOn w:val="1"/>
    <w:next w:val="1"/>
    <w:link w:val="39"/>
    <w:unhideWhenUsed/>
    <w:qFormat/>
    <w:uiPriority w:val="9"/>
    <w:pPr>
      <w:keepNext/>
      <w:keepLines/>
      <w:spacing w:before="360" w:after="80"/>
      <w:outlineLvl w:val="1"/>
    </w:pPr>
    <w:rPr>
      <w:b/>
      <w:sz w:val="36"/>
      <w:szCs w:val="36"/>
    </w:rPr>
  </w:style>
  <w:style w:type="paragraph" w:styleId="4">
    <w:name w:val="heading 3"/>
    <w:basedOn w:val="1"/>
    <w:next w:val="1"/>
    <w:link w:val="40"/>
    <w:unhideWhenUsed/>
    <w:qFormat/>
    <w:uiPriority w:val="9"/>
    <w:pPr>
      <w:keepNext/>
      <w:keepLines/>
      <w:spacing w:before="280" w:after="80"/>
      <w:outlineLvl w:val="2"/>
    </w:pPr>
    <w:rPr>
      <w:b/>
      <w:sz w:val="28"/>
      <w:szCs w:val="28"/>
    </w:rPr>
  </w:style>
  <w:style w:type="paragraph" w:styleId="5">
    <w:name w:val="heading 4"/>
    <w:basedOn w:val="1"/>
    <w:next w:val="1"/>
    <w:link w:val="41"/>
    <w:unhideWhenUsed/>
    <w:qFormat/>
    <w:uiPriority w:val="9"/>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0"/>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6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61"/>
    <w:unhideWhenUsed/>
    <w:qFormat/>
    <w:uiPriority w:val="0"/>
    <w:pPr>
      <w:suppressAutoHyphens/>
    </w:pPr>
    <w:rPr>
      <w:rFonts w:ascii="Calibri" w:hAnsi="Calibri" w:eastAsia="Calibri"/>
      <w:lang w:val="en-US" w:eastAsia="zh-CN"/>
    </w:rPr>
  </w:style>
  <w:style w:type="paragraph" w:styleId="22">
    <w:name w:val="Body Text Indent 2"/>
    <w:basedOn w:val="1"/>
    <w:link w:val="79"/>
    <w:qFormat/>
    <w:uiPriority w:val="0"/>
    <w:pPr>
      <w:spacing w:after="120" w:line="480" w:lineRule="auto"/>
      <w:ind w:left="283"/>
    </w:pPr>
    <w:rPr>
      <w:sz w:val="24"/>
      <w:szCs w:val="24"/>
    </w:rPr>
  </w:style>
  <w:style w:type="paragraph" w:styleId="23">
    <w:name w:val="Title"/>
    <w:basedOn w:val="1"/>
    <w:next w:val="1"/>
    <w:link w:val="46"/>
    <w:qFormat/>
    <w:uiPriority w:val="0"/>
    <w:pPr>
      <w:keepNext/>
      <w:keepLines/>
      <w:spacing w:before="480" w:after="120"/>
    </w:pPr>
    <w:rPr>
      <w:b/>
      <w:sz w:val="72"/>
      <w:szCs w:val="72"/>
    </w:rPr>
  </w:style>
  <w:style w:type="paragraph" w:styleId="24">
    <w:name w:val="Normal (Web)"/>
    <w:basedOn w:val="1"/>
    <w:unhideWhenUsed/>
    <w:qFormat/>
    <w:uiPriority w:val="0"/>
    <w:pPr>
      <w:spacing w:before="100" w:beforeAutospacing="1" w:after="100" w:afterAutospacing="1"/>
    </w:pPr>
    <w:rPr>
      <w:sz w:val="24"/>
      <w:szCs w:val="24"/>
    </w:rPr>
  </w:style>
  <w:style w:type="paragraph" w:styleId="25">
    <w:name w:val="Body Text 3"/>
    <w:basedOn w:val="1"/>
    <w:link w:val="73"/>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131"/>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47"/>
    <w:qFormat/>
    <w:uiPriority w:val="0"/>
    <w:pPr>
      <w:tabs>
        <w:tab w:val="center" w:pos="4419"/>
        <w:tab w:val="right" w:pos="8838"/>
      </w:tabs>
    </w:pPr>
  </w:style>
  <w:style w:type="paragraph" w:styleId="28">
    <w:name w:val="annotation subject"/>
    <w:basedOn w:val="21"/>
    <w:next w:val="21"/>
    <w:link w:val="63"/>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48"/>
    <w:unhideWhenUsed/>
    <w:qFormat/>
    <w:uiPriority w:val="0"/>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78"/>
    <w:qFormat/>
    <w:uiPriority w:val="0"/>
    <w:pPr>
      <w:spacing w:line="360" w:lineRule="auto"/>
      <w:ind w:firstLine="2552"/>
      <w:jc w:val="both"/>
    </w:pPr>
    <w:rPr>
      <w:rFonts w:ascii="Arial" w:hAnsi="Arial"/>
      <w:sz w:val="24"/>
    </w:rPr>
  </w:style>
  <w:style w:type="paragraph" w:styleId="32">
    <w:name w:val="Balloon Text"/>
    <w:basedOn w:val="1"/>
    <w:link w:val="64"/>
    <w:unhideWhenUsed/>
    <w:qFormat/>
    <w:uiPriority w:val="0"/>
    <w:rPr>
      <w:rFonts w:ascii="Segoe UI" w:hAnsi="Segoe UI" w:cs="Segoe UI" w:eastAsiaTheme="minorHAnsi"/>
      <w:sz w:val="18"/>
      <w:szCs w:val="18"/>
      <w:lang w:eastAsia="en-US"/>
    </w:rPr>
  </w:style>
  <w:style w:type="paragraph" w:styleId="33">
    <w:name w:val="Subtitle"/>
    <w:basedOn w:val="1"/>
    <w:next w:val="1"/>
    <w:link w:val="51"/>
    <w:qFormat/>
    <w:uiPriority w:val="0"/>
    <w:pPr>
      <w:keepNext/>
      <w:keepLines/>
      <w:spacing w:before="360" w:after="80"/>
    </w:pPr>
    <w:rPr>
      <w:rFonts w:ascii="Georgia" w:hAnsi="Georgia" w:eastAsia="Georgia" w:cs="Georgia"/>
      <w:i/>
      <w:color w:val="666666"/>
      <w:sz w:val="48"/>
      <w:szCs w:val="48"/>
    </w:rPr>
  </w:style>
  <w:style w:type="paragraph" w:styleId="34">
    <w:name w:val="footnote text"/>
    <w:basedOn w:val="1"/>
    <w:link w:val="66"/>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76"/>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9"/>
    <w:rPr>
      <w:b/>
      <w:sz w:val="48"/>
      <w:szCs w:val="48"/>
    </w:rPr>
  </w:style>
  <w:style w:type="character" w:customStyle="1" w:styleId="39">
    <w:name w:val="Título 2 Char"/>
    <w:basedOn w:val="9"/>
    <w:link w:val="3"/>
    <w:qFormat/>
    <w:uiPriority w:val="9"/>
    <w:rPr>
      <w:b/>
      <w:sz w:val="36"/>
      <w:szCs w:val="36"/>
    </w:rPr>
  </w:style>
  <w:style w:type="character" w:customStyle="1" w:styleId="40">
    <w:name w:val="Título 3 Char"/>
    <w:basedOn w:val="9"/>
    <w:link w:val="4"/>
    <w:qFormat/>
    <w:uiPriority w:val="9"/>
    <w:rPr>
      <w:b/>
      <w:sz w:val="28"/>
      <w:szCs w:val="28"/>
    </w:rPr>
  </w:style>
  <w:style w:type="character" w:customStyle="1" w:styleId="41">
    <w:name w:val="Título 4 Char"/>
    <w:basedOn w:val="9"/>
    <w:link w:val="5"/>
    <w:qFormat/>
    <w:uiPriority w:val="9"/>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table" w:customStyle="1" w:styleId="45">
    <w:name w:val="Table Normal"/>
    <w:qFormat/>
    <w:uiPriority w:val="0"/>
    <w:tblPr>
      <w:tblCellMar>
        <w:top w:w="0" w:type="dxa"/>
        <w:left w:w="0" w:type="dxa"/>
        <w:bottom w:w="0" w:type="dxa"/>
        <w:right w:w="0" w:type="dxa"/>
      </w:tblCellMar>
    </w:tblPr>
  </w:style>
  <w:style w:type="character" w:customStyle="1" w:styleId="46">
    <w:name w:val="Título Char"/>
    <w:basedOn w:val="9"/>
    <w:link w:val="23"/>
    <w:qFormat/>
    <w:uiPriority w:val="0"/>
    <w:rPr>
      <w:b/>
      <w:sz w:val="72"/>
      <w:szCs w:val="72"/>
    </w:rPr>
  </w:style>
  <w:style w:type="character" w:customStyle="1" w:styleId="47">
    <w:name w:val="Cabeçalho Char"/>
    <w:basedOn w:val="9"/>
    <w:link w:val="27"/>
    <w:qFormat/>
    <w:uiPriority w:val="0"/>
    <w:rPr>
      <w:rFonts w:ascii="Times New Roman" w:hAnsi="Times New Roman" w:eastAsia="Times New Roman" w:cs="Times New Roman"/>
      <w:sz w:val="20"/>
      <w:szCs w:val="20"/>
      <w:lang w:eastAsia="pt-BR"/>
    </w:rPr>
  </w:style>
  <w:style w:type="character" w:customStyle="1" w:styleId="48">
    <w:name w:val="Rodapé Char"/>
    <w:basedOn w:val="9"/>
    <w:link w:val="29"/>
    <w:qFormat/>
    <w:uiPriority w:val="0"/>
    <w:rPr>
      <w:rFonts w:ascii="Times New Roman" w:hAnsi="Times New Roman" w:eastAsia="Times New Roman" w:cs="Times New Roman"/>
      <w:sz w:val="20"/>
      <w:szCs w:val="20"/>
      <w:lang w:eastAsia="pt-BR"/>
    </w:rPr>
  </w:style>
  <w:style w:type="paragraph" w:styleId="49">
    <w:name w:val="List Paragraph"/>
    <w:basedOn w:val="1"/>
    <w:link w:val="50"/>
    <w:qFormat/>
    <w:uiPriority w:val="0"/>
    <w:pPr>
      <w:ind w:left="720"/>
      <w:contextualSpacing/>
    </w:pPr>
  </w:style>
  <w:style w:type="character" w:customStyle="1" w:styleId="50">
    <w:name w:val="Parágrafo da Lista Char"/>
    <w:link w:val="49"/>
    <w:qFormat/>
    <w:uiPriority w:val="0"/>
  </w:style>
  <w:style w:type="character" w:customStyle="1" w:styleId="51">
    <w:name w:val="Subtítulo Char"/>
    <w:basedOn w:val="9"/>
    <w:link w:val="33"/>
    <w:qFormat/>
    <w:uiPriority w:val="0"/>
    <w:rPr>
      <w:rFonts w:ascii="Georgia" w:hAnsi="Georgia" w:eastAsia="Georgia" w:cs="Georgia"/>
      <w:i/>
      <w:color w:val="666666"/>
      <w:sz w:val="48"/>
      <w:szCs w:val="48"/>
    </w:rPr>
  </w:style>
  <w:style w:type="table" w:customStyle="1" w:styleId="52">
    <w:name w:val="_Style 28"/>
    <w:basedOn w:val="45"/>
    <w:qFormat/>
    <w:uiPriority w:val="0"/>
    <w:tblPr>
      <w:tblCellMar>
        <w:left w:w="115" w:type="dxa"/>
        <w:right w:w="115" w:type="dxa"/>
      </w:tblCellMar>
    </w:tblPr>
  </w:style>
  <w:style w:type="table" w:customStyle="1" w:styleId="53">
    <w:name w:val="_Style 29"/>
    <w:basedOn w:val="45"/>
    <w:qFormat/>
    <w:uiPriority w:val="0"/>
    <w:tblPr>
      <w:tblCellMar>
        <w:left w:w="115" w:type="dxa"/>
        <w:right w:w="115" w:type="dxa"/>
      </w:tblCellMar>
    </w:tblPr>
  </w:style>
  <w:style w:type="table" w:customStyle="1" w:styleId="54">
    <w:name w:val="_Style 30"/>
    <w:basedOn w:val="45"/>
    <w:qFormat/>
    <w:uiPriority w:val="0"/>
    <w:tblPr>
      <w:tblCellMar>
        <w:left w:w="115" w:type="dxa"/>
        <w:right w:w="115" w:type="dxa"/>
      </w:tblCellMar>
    </w:tblPr>
  </w:style>
  <w:style w:type="table" w:customStyle="1" w:styleId="55">
    <w:name w:val="_Style 31"/>
    <w:basedOn w:val="45"/>
    <w:qFormat/>
    <w:uiPriority w:val="0"/>
    <w:tblPr>
      <w:tblCellMar>
        <w:left w:w="115" w:type="dxa"/>
        <w:right w:w="115" w:type="dxa"/>
      </w:tblCellMar>
    </w:tblPr>
  </w:style>
  <w:style w:type="table" w:customStyle="1" w:styleId="56">
    <w:name w:val="_Style 32"/>
    <w:basedOn w:val="45"/>
    <w:qFormat/>
    <w:uiPriority w:val="0"/>
    <w:tblPr>
      <w:tblCellMar>
        <w:left w:w="115" w:type="dxa"/>
        <w:right w:w="115" w:type="dxa"/>
      </w:tblCellMar>
    </w:tblPr>
  </w:style>
  <w:style w:type="table" w:customStyle="1" w:styleId="57">
    <w:name w:val="_Style 33"/>
    <w:basedOn w:val="45"/>
    <w:qFormat/>
    <w:uiPriority w:val="0"/>
    <w:tblPr>
      <w:tblCellMar>
        <w:left w:w="115" w:type="dxa"/>
        <w:right w:w="115" w:type="dxa"/>
      </w:tblCellMar>
    </w:tblPr>
  </w:style>
  <w:style w:type="table" w:customStyle="1" w:styleId="58">
    <w:name w:val="_Style 34"/>
    <w:basedOn w:val="45"/>
    <w:qFormat/>
    <w:uiPriority w:val="0"/>
    <w:tblPr>
      <w:tblCellMar>
        <w:left w:w="70" w:type="dxa"/>
        <w:right w:w="70" w:type="dxa"/>
      </w:tblCellMar>
    </w:tblPr>
  </w:style>
  <w:style w:type="paragraph" w:customStyle="1" w:styleId="59">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60">
    <w:name w:val="WW-Texto sem formatação"/>
    <w:basedOn w:val="1"/>
    <w:qFormat/>
    <w:uiPriority w:val="0"/>
    <w:pPr>
      <w:suppressAutoHyphens/>
    </w:pPr>
    <w:rPr>
      <w:rFonts w:ascii="Courier New" w:hAnsi="Courier New" w:cs="Courier New"/>
      <w:lang w:eastAsia="ar-SA"/>
    </w:rPr>
  </w:style>
  <w:style w:type="character" w:customStyle="1" w:styleId="61">
    <w:name w:val="Texto de comentário Char"/>
    <w:basedOn w:val="9"/>
    <w:link w:val="21"/>
    <w:qFormat/>
    <w:uiPriority w:val="0"/>
    <w:rPr>
      <w:rFonts w:ascii="Calibri" w:hAnsi="Calibri" w:eastAsia="Calibri"/>
      <w:lang w:val="en-US" w:eastAsia="zh-CN"/>
    </w:rPr>
  </w:style>
  <w:style w:type="character" w:customStyle="1" w:styleId="62">
    <w:name w:val="Texto de comentário Char1"/>
    <w:basedOn w:val="9"/>
    <w:semiHidden/>
    <w:qFormat/>
    <w:uiPriority w:val="99"/>
  </w:style>
  <w:style w:type="character" w:customStyle="1" w:styleId="63">
    <w:name w:val="Assunto do comentário Char"/>
    <w:basedOn w:val="62"/>
    <w:link w:val="28"/>
    <w:qFormat/>
    <w:uiPriority w:val="0"/>
    <w:rPr>
      <w:rFonts w:asciiTheme="minorHAnsi" w:hAnsiTheme="minorHAnsi" w:eastAsiaTheme="minorHAnsi" w:cstheme="minorBidi"/>
      <w:b/>
      <w:bCs/>
      <w:lang w:eastAsia="en-US"/>
    </w:rPr>
  </w:style>
  <w:style w:type="character" w:customStyle="1" w:styleId="64">
    <w:name w:val="Texto de balão Char"/>
    <w:basedOn w:val="9"/>
    <w:link w:val="32"/>
    <w:qFormat/>
    <w:uiPriority w:val="0"/>
    <w:rPr>
      <w:rFonts w:ascii="Segoe UI" w:hAnsi="Segoe UI" w:cs="Segoe UI" w:eastAsiaTheme="minorHAnsi"/>
      <w:sz w:val="18"/>
      <w:szCs w:val="18"/>
      <w:lang w:eastAsia="en-US"/>
    </w:rPr>
  </w:style>
  <w:style w:type="character" w:customStyle="1" w:styleId="65">
    <w:name w:val="Corpo de texto Char"/>
    <w:basedOn w:val="9"/>
    <w:link w:val="20"/>
    <w:qFormat/>
    <w:uiPriority w:val="1"/>
    <w:rPr>
      <w:rFonts w:ascii="Arial" w:hAnsi="Arial" w:eastAsia="Arial" w:cs="Arial"/>
      <w:sz w:val="24"/>
      <w:szCs w:val="24"/>
      <w:lang w:val="pt-PT" w:eastAsia="en-US"/>
    </w:rPr>
  </w:style>
  <w:style w:type="character" w:customStyle="1" w:styleId="66">
    <w:name w:val="Texto de nota de rodapé Char"/>
    <w:basedOn w:val="9"/>
    <w:link w:val="34"/>
    <w:qFormat/>
    <w:uiPriority w:val="99"/>
    <w:rPr>
      <w:rFonts w:asciiTheme="minorHAnsi" w:hAnsiTheme="minorHAnsi" w:eastAsiaTheme="minorHAnsi" w:cstheme="minorBidi"/>
      <w:lang w:eastAsia="en-US"/>
    </w:rPr>
  </w:style>
  <w:style w:type="character" w:customStyle="1" w:styleId="67">
    <w:name w:val="Footnote Characters"/>
    <w:basedOn w:val="9"/>
    <w:semiHidden/>
    <w:unhideWhenUsed/>
    <w:qFormat/>
    <w:uiPriority w:val="99"/>
    <w:rPr>
      <w:vertAlign w:val="superscript"/>
    </w:rPr>
  </w:style>
  <w:style w:type="paragraph" w:customStyle="1" w:styleId="68">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69">
    <w:name w:val="Default"/>
    <w:link w:val="70"/>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0">
    <w:name w:val="Default Char"/>
    <w:link w:val="69"/>
    <w:qFormat/>
    <w:uiPriority w:val="0"/>
    <w:rPr>
      <w:rFonts w:ascii="Minion Pro" w:hAnsi="Minion Pro" w:cs="Minion Pro" w:eastAsiaTheme="minorHAnsi"/>
      <w:color w:val="000000"/>
      <w:sz w:val="24"/>
      <w:szCs w:val="24"/>
      <w:lang w:eastAsia="en-US"/>
    </w:rPr>
  </w:style>
  <w:style w:type="character" w:customStyle="1" w:styleId="71">
    <w:name w:val="Menção Pendente1"/>
    <w:basedOn w:val="9"/>
    <w:semiHidden/>
    <w:unhideWhenUsed/>
    <w:qFormat/>
    <w:uiPriority w:val="99"/>
    <w:rPr>
      <w:color w:val="605E5C"/>
      <w:shd w:val="clear" w:color="auto" w:fill="E1DFDD"/>
    </w:rPr>
  </w:style>
  <w:style w:type="paragraph" w:customStyle="1" w:styleId="72">
    <w:name w:val="Normal1"/>
    <w:qFormat/>
    <w:uiPriority w:val="0"/>
    <w:pPr>
      <w:spacing w:line="276" w:lineRule="auto"/>
    </w:pPr>
    <w:rPr>
      <w:rFonts w:ascii="Arial" w:hAnsi="Arial" w:eastAsia="Arial" w:cs="Arial"/>
      <w:sz w:val="22"/>
      <w:szCs w:val="22"/>
      <w:lang w:val="pt-BR" w:eastAsia="pt-BR" w:bidi="ar-SA"/>
    </w:rPr>
  </w:style>
  <w:style w:type="character" w:customStyle="1" w:styleId="73">
    <w:name w:val="Corpo de texto 3 Char"/>
    <w:basedOn w:val="9"/>
    <w:link w:val="25"/>
    <w:qFormat/>
    <w:uiPriority w:val="99"/>
    <w:rPr>
      <w:rFonts w:asciiTheme="minorHAnsi" w:hAnsiTheme="minorHAnsi" w:eastAsiaTheme="minorHAnsi" w:cstheme="minorBidi"/>
      <w:sz w:val="16"/>
      <w:szCs w:val="16"/>
      <w:lang w:eastAsia="en-US"/>
    </w:rPr>
  </w:style>
  <w:style w:type="table" w:customStyle="1" w:styleId="74">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5">
    <w:name w:val="Tabela com grade2"/>
    <w:basedOn w:val="10"/>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6">
    <w:name w:val="Recuo de corpo de texto Char"/>
    <w:basedOn w:val="9"/>
    <w:link w:val="36"/>
    <w:qFormat/>
    <w:uiPriority w:val="0"/>
    <w:rPr>
      <w:rFonts w:ascii="Century Gothic" w:hAnsi="Century Gothic" w:eastAsia="Century Gothic" w:cs="Century Gothic"/>
      <w:sz w:val="22"/>
      <w:szCs w:val="22"/>
      <w:lang w:val="pt-PT" w:eastAsia="en-US"/>
    </w:rPr>
  </w:style>
  <w:style w:type="paragraph" w:customStyle="1" w:styleId="77">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78">
    <w:name w:val="Recuo de corpo de texto 3 Char"/>
    <w:basedOn w:val="9"/>
    <w:link w:val="31"/>
    <w:qFormat/>
    <w:uiPriority w:val="0"/>
    <w:rPr>
      <w:rFonts w:ascii="Arial" w:hAnsi="Arial"/>
      <w:sz w:val="24"/>
    </w:rPr>
  </w:style>
  <w:style w:type="character" w:customStyle="1" w:styleId="79">
    <w:name w:val="Recuo de corpo de texto 2 Char"/>
    <w:basedOn w:val="9"/>
    <w:link w:val="22"/>
    <w:qFormat/>
    <w:uiPriority w:val="0"/>
    <w:rPr>
      <w:sz w:val="24"/>
      <w:szCs w:val="24"/>
    </w:rPr>
  </w:style>
  <w:style w:type="character" w:customStyle="1" w:styleId="80">
    <w:name w:val="apple-converted-space"/>
    <w:qFormat/>
    <w:uiPriority w:val="0"/>
  </w:style>
  <w:style w:type="paragraph" w:customStyle="1" w:styleId="81">
    <w:name w:val="TCU - Epígrafe"/>
    <w:basedOn w:val="1"/>
    <w:qFormat/>
    <w:uiPriority w:val="0"/>
    <w:pPr>
      <w:ind w:left="2835"/>
      <w:jc w:val="both"/>
    </w:pPr>
    <w:rPr>
      <w:sz w:val="24"/>
    </w:rPr>
  </w:style>
  <w:style w:type="paragraph" w:customStyle="1" w:styleId="82">
    <w:name w:val="TCU - Sem Recuo"/>
    <w:basedOn w:val="1"/>
    <w:qFormat/>
    <w:uiPriority w:val="0"/>
    <w:pPr>
      <w:tabs>
        <w:tab w:val="left" w:pos="1134"/>
      </w:tabs>
      <w:spacing w:after="160"/>
      <w:jc w:val="both"/>
    </w:pPr>
    <w:rPr>
      <w:sz w:val="24"/>
    </w:rPr>
  </w:style>
  <w:style w:type="paragraph" w:customStyle="1" w:styleId="83">
    <w:name w:val="TCU - Rel/Voto - demais §§"/>
    <w:basedOn w:val="1"/>
    <w:qFormat/>
    <w:uiPriority w:val="0"/>
    <w:pPr>
      <w:tabs>
        <w:tab w:val="left" w:pos="1134"/>
      </w:tabs>
      <w:spacing w:after="160"/>
      <w:jc w:val="both"/>
    </w:pPr>
    <w:rPr>
      <w:sz w:val="24"/>
      <w:szCs w:val="22"/>
      <w:lang w:eastAsia="en-US"/>
    </w:rPr>
  </w:style>
  <w:style w:type="paragraph" w:customStyle="1" w:styleId="84">
    <w:name w:val="corpo de texto"/>
    <w:basedOn w:val="31"/>
    <w:qFormat/>
    <w:uiPriority w:val="0"/>
    <w:pPr>
      <w:spacing w:line="240" w:lineRule="auto"/>
      <w:ind w:firstLine="1134"/>
    </w:pPr>
    <w:rPr>
      <w:rFonts w:ascii="Times New Roman" w:hAnsi="Times New Roman"/>
    </w:rPr>
  </w:style>
  <w:style w:type="character" w:customStyle="1" w:styleId="85">
    <w:name w:val="titulo"/>
    <w:qFormat/>
    <w:uiPriority w:val="0"/>
  </w:style>
  <w:style w:type="character" w:customStyle="1" w:styleId="86">
    <w:name w:val="corpojustificado"/>
    <w:qFormat/>
    <w:uiPriority w:val="0"/>
  </w:style>
  <w:style w:type="paragraph" w:customStyle="1" w:styleId="87">
    <w:name w:val="04partenormativa"/>
    <w:basedOn w:val="1"/>
    <w:qFormat/>
    <w:uiPriority w:val="0"/>
    <w:pPr>
      <w:spacing w:before="100" w:beforeAutospacing="1" w:after="100" w:afterAutospacing="1"/>
    </w:pPr>
    <w:rPr>
      <w:sz w:val="24"/>
      <w:szCs w:val="24"/>
    </w:rPr>
  </w:style>
  <w:style w:type="paragraph" w:customStyle="1" w:styleId="88">
    <w:name w:val="Style 2"/>
    <w:basedOn w:val="1"/>
    <w:qFormat/>
    <w:uiPriority w:val="99"/>
    <w:pPr>
      <w:widowControl w:val="0"/>
      <w:autoSpaceDE w:val="0"/>
      <w:autoSpaceDN w:val="0"/>
      <w:ind w:firstLine="288"/>
      <w:jc w:val="both"/>
    </w:pPr>
    <w:rPr>
      <w:sz w:val="19"/>
      <w:szCs w:val="19"/>
    </w:rPr>
  </w:style>
  <w:style w:type="character" w:customStyle="1" w:styleId="89">
    <w:name w:val="Character Style 1"/>
    <w:qFormat/>
    <w:uiPriority w:val="99"/>
    <w:rPr>
      <w:sz w:val="19"/>
      <w:szCs w:val="19"/>
    </w:rPr>
  </w:style>
  <w:style w:type="paragraph" w:customStyle="1" w:styleId="90">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1">
    <w:name w:val="Character Style 2"/>
    <w:qFormat/>
    <w:uiPriority w:val="99"/>
    <w:rPr>
      <w:sz w:val="20"/>
      <w:szCs w:val="20"/>
    </w:rPr>
  </w:style>
  <w:style w:type="paragraph" w:customStyle="1" w:styleId="92">
    <w:name w:val="textbody"/>
    <w:basedOn w:val="1"/>
    <w:qFormat/>
    <w:uiPriority w:val="0"/>
    <w:pPr>
      <w:spacing w:before="100" w:beforeAutospacing="1" w:after="100" w:afterAutospacing="1"/>
    </w:pPr>
    <w:rPr>
      <w:sz w:val="24"/>
      <w:szCs w:val="24"/>
    </w:rPr>
  </w:style>
  <w:style w:type="paragraph" w:customStyle="1" w:styleId="93">
    <w:name w:val="tcu_-_transcrição"/>
    <w:basedOn w:val="1"/>
    <w:qFormat/>
    <w:uiPriority w:val="0"/>
    <w:pPr>
      <w:spacing w:before="100" w:beforeAutospacing="1" w:after="100" w:afterAutospacing="1"/>
    </w:pPr>
    <w:rPr>
      <w:sz w:val="24"/>
      <w:szCs w:val="24"/>
    </w:rPr>
  </w:style>
  <w:style w:type="paragraph" w:customStyle="1" w:styleId="94">
    <w:name w:val="tcu_-_rel/voto_-_demais_§§"/>
    <w:basedOn w:val="1"/>
    <w:qFormat/>
    <w:uiPriority w:val="0"/>
    <w:pPr>
      <w:spacing w:before="100" w:beforeAutospacing="1" w:after="100" w:afterAutospacing="1"/>
    </w:pPr>
    <w:rPr>
      <w:sz w:val="24"/>
      <w:szCs w:val="24"/>
    </w:rPr>
  </w:style>
  <w:style w:type="paragraph" w:customStyle="1" w:styleId="95">
    <w:name w:val="tcu_-_centralizado"/>
    <w:basedOn w:val="1"/>
    <w:qFormat/>
    <w:uiPriority w:val="0"/>
    <w:pPr>
      <w:spacing w:before="100" w:beforeAutospacing="1" w:after="100" w:afterAutospacing="1"/>
    </w:pPr>
    <w:rPr>
      <w:sz w:val="24"/>
      <w:szCs w:val="24"/>
    </w:rPr>
  </w:style>
  <w:style w:type="paragraph" w:customStyle="1" w:styleId="96">
    <w:name w:val="texto_justificado_recuo_primeira_linha"/>
    <w:basedOn w:val="1"/>
    <w:qFormat/>
    <w:uiPriority w:val="0"/>
    <w:pPr>
      <w:spacing w:before="100" w:beforeAutospacing="1" w:after="100" w:afterAutospacing="1"/>
    </w:pPr>
    <w:rPr>
      <w:sz w:val="24"/>
      <w:szCs w:val="24"/>
    </w:rPr>
  </w:style>
  <w:style w:type="paragraph" w:customStyle="1" w:styleId="97">
    <w:name w:val="citacao"/>
    <w:basedOn w:val="1"/>
    <w:qFormat/>
    <w:uiPriority w:val="0"/>
    <w:pPr>
      <w:spacing w:before="100" w:beforeAutospacing="1" w:after="100" w:afterAutospacing="1"/>
    </w:pPr>
    <w:rPr>
      <w:sz w:val="24"/>
      <w:szCs w:val="24"/>
    </w:rPr>
  </w:style>
  <w:style w:type="paragraph" w:customStyle="1" w:styleId="98">
    <w:name w:val="Nivel 2"/>
    <w:basedOn w:val="1"/>
    <w:link w:val="99"/>
    <w:qFormat/>
    <w:uiPriority w:val="0"/>
    <w:pPr>
      <w:spacing w:before="120" w:after="120" w:line="276" w:lineRule="auto"/>
      <w:ind w:left="4969" w:hanging="432"/>
      <w:jc w:val="both"/>
    </w:pPr>
    <w:rPr>
      <w:rFonts w:ascii="Arial" w:hAnsi="Arial" w:cs="Arial"/>
      <w:color w:val="000000"/>
    </w:rPr>
  </w:style>
  <w:style w:type="character" w:customStyle="1" w:styleId="99">
    <w:name w:val="Nivel 2 Char"/>
    <w:link w:val="98"/>
    <w:qFormat/>
    <w:locked/>
    <w:uiPriority w:val="0"/>
    <w:rPr>
      <w:rFonts w:ascii="Arial" w:hAnsi="Arial" w:cs="Arial"/>
      <w:color w:val="000000"/>
    </w:rPr>
  </w:style>
  <w:style w:type="paragraph" w:customStyle="1" w:styleId="100">
    <w:name w:val="Nivel 01"/>
    <w:basedOn w:val="2"/>
    <w:next w:val="1"/>
    <w:link w:val="101"/>
    <w:qFormat/>
    <w:uiPriority w:val="0"/>
    <w:pPr>
      <w:tabs>
        <w:tab w:val="left" w:pos="567"/>
      </w:tabs>
      <w:spacing w:before="240" w:after="0"/>
      <w:ind w:left="360" w:hanging="360"/>
      <w:jc w:val="both"/>
    </w:pPr>
    <w:rPr>
      <w:rFonts w:ascii="Arial" w:hAnsi="Arial" w:cs="Arial"/>
      <w:bCs/>
      <w:sz w:val="20"/>
      <w:szCs w:val="20"/>
    </w:rPr>
  </w:style>
  <w:style w:type="character" w:customStyle="1" w:styleId="101">
    <w:name w:val="Nivel 01 Char"/>
    <w:link w:val="100"/>
    <w:qFormat/>
    <w:uiPriority w:val="0"/>
    <w:rPr>
      <w:rFonts w:ascii="Arial" w:hAnsi="Arial" w:cs="Arial"/>
      <w:b/>
      <w:bCs/>
    </w:rPr>
  </w:style>
  <w:style w:type="paragraph" w:customStyle="1" w:styleId="102">
    <w:name w:val="Nivel 3"/>
    <w:basedOn w:val="1"/>
    <w:link w:val="103"/>
    <w:qFormat/>
    <w:uiPriority w:val="0"/>
    <w:pPr>
      <w:spacing w:before="120" w:after="120" w:line="276" w:lineRule="auto"/>
      <w:ind w:left="3198" w:hanging="504"/>
      <w:jc w:val="both"/>
    </w:pPr>
    <w:rPr>
      <w:rFonts w:ascii="Arial" w:hAnsi="Arial" w:cs="Arial"/>
      <w:color w:val="000000"/>
    </w:rPr>
  </w:style>
  <w:style w:type="character" w:customStyle="1" w:styleId="103">
    <w:name w:val="Nivel 3 Char"/>
    <w:link w:val="102"/>
    <w:qFormat/>
    <w:uiPriority w:val="0"/>
    <w:rPr>
      <w:rFonts w:ascii="Arial" w:hAnsi="Arial" w:cs="Arial"/>
      <w:color w:val="000000"/>
    </w:rPr>
  </w:style>
  <w:style w:type="paragraph" w:customStyle="1" w:styleId="104">
    <w:name w:val="Nivel_01_Titulo"/>
    <w:basedOn w:val="2"/>
    <w:next w:val="1"/>
    <w:link w:val="105"/>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5">
    <w:name w:val="Nivel_01_Titulo Char"/>
    <w:link w:val="104"/>
    <w:qFormat/>
    <w:uiPriority w:val="0"/>
    <w:rPr>
      <w:rFonts w:ascii="Arial" w:hAnsi="Arial"/>
      <w:b/>
      <w:bCs/>
      <w:color w:val="2F5496"/>
    </w:rPr>
  </w:style>
  <w:style w:type="paragraph" w:customStyle="1" w:styleId="106">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7">
    <w:name w:val="Nível 2 -Red"/>
    <w:basedOn w:val="98"/>
    <w:link w:val="108"/>
    <w:qFormat/>
    <w:uiPriority w:val="0"/>
    <w:pPr>
      <w:numPr>
        <w:ilvl w:val="1"/>
        <w:numId w:val="2"/>
      </w:numPr>
      <w:ind w:left="4969" w:hanging="360"/>
    </w:pPr>
    <w:rPr>
      <w:i/>
      <w:iCs/>
      <w:color w:val="FF0000"/>
    </w:rPr>
  </w:style>
  <w:style w:type="character" w:customStyle="1" w:styleId="108">
    <w:name w:val="Nível 2 -Red Char"/>
    <w:link w:val="107"/>
    <w:qFormat/>
    <w:uiPriority w:val="0"/>
    <w:rPr>
      <w:rFonts w:ascii="Arial" w:hAnsi="Arial" w:cs="Arial"/>
      <w:i/>
      <w:iCs/>
      <w:color w:val="FF0000"/>
    </w:rPr>
  </w:style>
  <w:style w:type="paragraph" w:customStyle="1" w:styleId="109">
    <w:name w:val="Nível 3-R"/>
    <w:basedOn w:val="102"/>
    <w:link w:val="110"/>
    <w:qFormat/>
    <w:uiPriority w:val="0"/>
    <w:pPr>
      <w:numPr>
        <w:ilvl w:val="2"/>
        <w:numId w:val="2"/>
      </w:numPr>
    </w:pPr>
    <w:rPr>
      <w:i/>
      <w:iCs/>
      <w:color w:val="FF0000"/>
    </w:rPr>
  </w:style>
  <w:style w:type="character" w:customStyle="1" w:styleId="110">
    <w:name w:val="Nível 3-R Char"/>
    <w:link w:val="109"/>
    <w:qFormat/>
    <w:uiPriority w:val="0"/>
    <w:rPr>
      <w:rFonts w:ascii="Arial" w:hAnsi="Arial" w:cs="Arial"/>
      <w:i/>
      <w:iCs/>
      <w:color w:val="FF0000"/>
    </w:rPr>
  </w:style>
  <w:style w:type="paragraph" w:customStyle="1" w:styleId="111">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2">
    <w:name w:val="ou"/>
    <w:basedOn w:val="49"/>
    <w:link w:val="113"/>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3">
    <w:name w:val="ou Char"/>
    <w:link w:val="112"/>
    <w:qFormat/>
    <w:uiPriority w:val="0"/>
    <w:rPr>
      <w:rFonts w:ascii="Arial" w:hAnsi="Arial" w:eastAsia="Calibri" w:cs="Arial"/>
      <w:b/>
      <w:bCs/>
      <w:i/>
      <w:iCs/>
      <w:color w:val="FF0000"/>
      <w:sz w:val="24"/>
      <w:szCs w:val="24"/>
      <w:u w:val="single"/>
    </w:rPr>
  </w:style>
  <w:style w:type="paragraph" w:customStyle="1" w:styleId="114">
    <w:name w:val="Nivel 3-erro"/>
    <w:basedOn w:val="102"/>
    <w:link w:val="115"/>
    <w:qFormat/>
    <w:uiPriority w:val="0"/>
    <w:pPr>
      <w:spacing w:line="240" w:lineRule="auto"/>
      <w:ind w:left="425" w:hanging="504"/>
    </w:pPr>
    <w:rPr>
      <w:rFonts w:cs="Tahoma"/>
      <w:color w:val="auto"/>
      <w:szCs w:val="24"/>
    </w:rPr>
  </w:style>
  <w:style w:type="character" w:customStyle="1" w:styleId="115">
    <w:name w:val="Nivel 3-erro Char"/>
    <w:link w:val="114"/>
    <w:qFormat/>
    <w:uiPriority w:val="0"/>
    <w:rPr>
      <w:rFonts w:ascii="Arial" w:hAnsi="Arial" w:cs="Tahoma"/>
      <w:szCs w:val="24"/>
    </w:rPr>
  </w:style>
  <w:style w:type="character" w:customStyle="1" w:styleId="116">
    <w:name w:val="normaltextrun"/>
    <w:basedOn w:val="9"/>
    <w:qFormat/>
    <w:uiPriority w:val="0"/>
  </w:style>
  <w:style w:type="character" w:customStyle="1" w:styleId="117">
    <w:name w:val="cf01"/>
    <w:qFormat/>
    <w:uiPriority w:val="0"/>
    <w:rPr>
      <w:rFonts w:hint="default" w:ascii="Segoe UI" w:hAnsi="Segoe UI" w:cs="Segoe UI"/>
      <w:sz w:val="18"/>
      <w:szCs w:val="18"/>
    </w:rPr>
  </w:style>
  <w:style w:type="paragraph" w:customStyle="1" w:styleId="118">
    <w:name w:val="pf0"/>
    <w:basedOn w:val="1"/>
    <w:qFormat/>
    <w:uiPriority w:val="0"/>
    <w:pPr>
      <w:spacing w:before="100" w:beforeAutospacing="1" w:after="100" w:afterAutospacing="1"/>
    </w:pPr>
    <w:rPr>
      <w:sz w:val="24"/>
      <w:szCs w:val="24"/>
    </w:rPr>
  </w:style>
  <w:style w:type="paragraph" w:customStyle="1" w:styleId="119">
    <w:name w:val="Nivel 4"/>
    <w:basedOn w:val="102"/>
    <w:link w:val="120"/>
    <w:qFormat/>
    <w:uiPriority w:val="0"/>
    <w:pPr>
      <w:ind w:left="851" w:firstLine="0"/>
    </w:pPr>
    <w:rPr>
      <w:rFonts w:eastAsia="MS Mincho"/>
      <w:color w:val="auto"/>
    </w:rPr>
  </w:style>
  <w:style w:type="character" w:customStyle="1" w:styleId="120">
    <w:name w:val="Nivel 4 Char"/>
    <w:link w:val="119"/>
    <w:qFormat/>
    <w:uiPriority w:val="0"/>
    <w:rPr>
      <w:rFonts w:ascii="Arial" w:hAnsi="Arial" w:eastAsia="MS Mincho" w:cs="Arial"/>
    </w:rPr>
  </w:style>
  <w:style w:type="paragraph" w:customStyle="1" w:styleId="121">
    <w:name w:val="Nivel 5"/>
    <w:basedOn w:val="119"/>
    <w:qFormat/>
    <w:uiPriority w:val="0"/>
    <w:pPr>
      <w:ind w:left="1276"/>
    </w:pPr>
  </w:style>
  <w:style w:type="paragraph" w:customStyle="1" w:styleId="122">
    <w:name w:val="Nivel 1"/>
    <w:basedOn w:val="98"/>
    <w:next w:val="98"/>
    <w:qFormat/>
    <w:uiPriority w:val="0"/>
    <w:pPr>
      <w:tabs>
        <w:tab w:val="left" w:pos="360"/>
      </w:tabs>
      <w:ind w:left="858"/>
    </w:pPr>
    <w:rPr>
      <w:rFonts w:ascii="Ecofont_Spranq_eco_Sans" w:hAnsi="Ecofont_Spranq_eco_Sans" w:eastAsia="Arial Unicode MS"/>
      <w:b/>
      <w:color w:val="auto"/>
    </w:rPr>
  </w:style>
  <w:style w:type="character" w:customStyle="1" w:styleId="123">
    <w:name w:val="cf11"/>
    <w:qFormat/>
    <w:uiPriority w:val="0"/>
    <w:rPr>
      <w:rFonts w:hint="default" w:ascii="Segoe UI" w:hAnsi="Segoe UI" w:cs="Segoe UI"/>
      <w:i/>
      <w:iCs/>
      <w:sz w:val="18"/>
      <w:szCs w:val="18"/>
    </w:rPr>
  </w:style>
  <w:style w:type="paragraph" w:customStyle="1" w:styleId="124">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5">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26">
    <w:name w:val="Nível 4"/>
    <w:basedOn w:val="1"/>
    <w:qFormat/>
    <w:uiPriority w:val="0"/>
    <w:pPr>
      <w:spacing w:before="120" w:after="120" w:line="276" w:lineRule="auto"/>
      <w:ind w:left="567"/>
      <w:jc w:val="both"/>
    </w:pPr>
    <w:rPr>
      <w:rFonts w:ascii="Arial" w:hAnsi="Arial" w:cs="Arial"/>
    </w:rPr>
  </w:style>
  <w:style w:type="paragraph" w:customStyle="1" w:styleId="127">
    <w:name w:val="Recuo de corpo de texto 21"/>
    <w:basedOn w:val="1"/>
    <w:qFormat/>
    <w:uiPriority w:val="0"/>
    <w:pPr>
      <w:suppressAutoHyphens/>
      <w:spacing w:after="120" w:line="480" w:lineRule="auto"/>
      <w:ind w:left="283"/>
    </w:pPr>
    <w:rPr>
      <w:sz w:val="24"/>
      <w:szCs w:val="24"/>
      <w:lang w:eastAsia="ar-SA"/>
    </w:rPr>
  </w:style>
  <w:style w:type="paragraph" w:customStyle="1" w:styleId="128">
    <w:name w:val="Nível 3"/>
    <w:basedOn w:val="109"/>
    <w:link w:val="129"/>
    <w:qFormat/>
    <w:uiPriority w:val="0"/>
    <w:pPr>
      <w:numPr>
        <w:numId w:val="0"/>
      </w:numPr>
      <w:ind w:left="284"/>
    </w:pPr>
    <w:rPr>
      <w:i w:val="0"/>
      <w:iCs w:val="0"/>
      <w:color w:val="auto"/>
    </w:rPr>
  </w:style>
  <w:style w:type="character" w:customStyle="1" w:styleId="129">
    <w:name w:val="Nível 3 Char"/>
    <w:link w:val="128"/>
    <w:qFormat/>
    <w:uiPriority w:val="0"/>
    <w:rPr>
      <w:rFonts w:ascii="Arial" w:hAnsi="Arial" w:cs="Arial"/>
    </w:rPr>
  </w:style>
  <w:style w:type="paragraph" w:customStyle="1" w:styleId="130">
    <w:name w:val="Título 11"/>
    <w:basedOn w:val="1"/>
    <w:qFormat/>
    <w:uiPriority w:val="1"/>
    <w:pPr>
      <w:widowControl w:val="0"/>
      <w:ind w:left="292" w:hanging="174"/>
      <w:outlineLvl w:val="1"/>
    </w:pPr>
    <w:rPr>
      <w:rFonts w:ascii="Calibri" w:hAnsi="Calibri" w:eastAsia="Calibri" w:cs="Calibri"/>
      <w:b/>
      <w:bCs/>
      <w:sz w:val="24"/>
      <w:szCs w:val="24"/>
      <w:lang w:val="pt-PT"/>
    </w:rPr>
  </w:style>
  <w:style w:type="character" w:customStyle="1" w:styleId="131">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table" w:customStyle="1" w:styleId="132">
    <w:name w:val="_Style 19"/>
    <w:basedOn w:val="45"/>
    <w:uiPriority w:val="0"/>
    <w:tblPr>
      <w:tblCellMar>
        <w:left w:w="115" w:type="dxa"/>
        <w:right w:w="115" w:type="dxa"/>
      </w:tblCellMar>
    </w:tblPr>
  </w:style>
  <w:style w:type="character" w:customStyle="1" w:styleId="133">
    <w:name w:val="apple-tab-span"/>
    <w:basedOn w:val="9"/>
    <w:qFormat/>
    <w:uiPriority w:val="0"/>
  </w:style>
  <w:style w:type="paragraph" w:customStyle="1" w:styleId="134">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5">
    <w:name w:val="Index"/>
    <w:basedOn w:val="19"/>
    <w:qFormat/>
    <w:uiPriority w:val="0"/>
    <w:pPr>
      <w:suppressLineNumbers/>
    </w:pPr>
    <w:rPr>
      <w:rFonts w:cs="Mangal"/>
    </w:rPr>
  </w:style>
  <w:style w:type="paragraph" w:customStyle="1" w:styleId="136">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7">
    <w:name w:val="Footnote"/>
    <w:basedOn w:val="19"/>
    <w:qFormat/>
    <w:uiPriority w:val="0"/>
  </w:style>
  <w:style w:type="paragraph" w:customStyle="1" w:styleId="138">
    <w:name w:val="Table Contents"/>
    <w:basedOn w:val="19"/>
    <w:qFormat/>
    <w:uiPriority w:val="0"/>
    <w:pPr>
      <w:suppressLineNumbers/>
    </w:pPr>
  </w:style>
  <w:style w:type="paragraph" w:customStyle="1" w:styleId="139">
    <w:name w:val="Table Heading"/>
    <w:basedOn w:val="138"/>
    <w:qFormat/>
    <w:uiPriority w:val="0"/>
    <w:pPr>
      <w:jc w:val="center"/>
    </w:pPr>
    <w:rPr>
      <w:b/>
      <w:bCs/>
    </w:rPr>
  </w:style>
  <w:style w:type="paragraph" w:customStyle="1" w:styleId="140">
    <w:name w:val="Header and Footer"/>
    <w:basedOn w:val="19"/>
    <w:qFormat/>
    <w:uiPriority w:val="0"/>
    <w:pPr>
      <w:suppressLineNumbers/>
      <w:tabs>
        <w:tab w:val="center" w:pos="4829"/>
        <w:tab w:val="right" w:pos="9648"/>
      </w:tabs>
    </w:pPr>
  </w:style>
  <w:style w:type="paragraph" w:customStyle="1" w:styleId="141">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2">
    <w:name w:val="footnote description Char"/>
    <w:qFormat/>
    <w:uiPriority w:val="0"/>
    <w:rPr>
      <w:rFonts w:ascii="Liberation Serif" w:hAnsi="Liberation Serif" w:eastAsia="Liberation Serif" w:cs="Liberation Serif"/>
      <w:color w:val="000000"/>
      <w:sz w:val="16"/>
    </w:rPr>
  </w:style>
  <w:style w:type="character" w:customStyle="1" w:styleId="143">
    <w:name w:val="footnote mark"/>
    <w:qFormat/>
    <w:uiPriority w:val="0"/>
    <w:rPr>
      <w:rFonts w:ascii="Liberation Serif" w:hAnsi="Liberation Serif" w:eastAsia="Liberation Serif" w:cs="Liberation Serif"/>
      <w:color w:val="000000"/>
      <w:position w:val="0"/>
      <w:sz w:val="16"/>
      <w:vertAlign w:val="superscript"/>
    </w:rPr>
  </w:style>
  <w:style w:type="character" w:customStyle="1" w:styleId="144">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0"/>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2">
    <w:name w:val="ListLabel 1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7"/>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80">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1"/>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2"/>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7">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0"/>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6">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5">
    <w:name w:val="Footnote Symbol"/>
    <w:qFormat/>
    <w:uiPriority w:val="0"/>
  </w:style>
  <w:style w:type="character" w:customStyle="1" w:styleId="226">
    <w:name w:val="Footnote anchor"/>
    <w:qFormat/>
    <w:uiPriority w:val="0"/>
    <w:rPr>
      <w:position w:val="0"/>
      <w:vertAlign w:val="superscript"/>
    </w:rPr>
  </w:style>
  <w:style w:type="character" w:customStyle="1" w:styleId="227">
    <w:name w:val="Bullet Symbols"/>
    <w:qFormat/>
    <w:uiPriority w:val="0"/>
    <w:rPr>
      <w:rFonts w:ascii="OpenSymbol" w:hAnsi="OpenSymbol" w:eastAsia="OpenSymbol" w:cs="OpenSymbol"/>
    </w:rPr>
  </w:style>
  <w:style w:type="character" w:customStyle="1" w:styleId="228">
    <w:name w:val="go"/>
    <w:basedOn w:val="9"/>
    <w:qFormat/>
    <w:uiPriority w:val="0"/>
  </w:style>
  <w:style w:type="character" w:customStyle="1" w:styleId="229">
    <w:name w:val="Internet link"/>
    <w:qFormat/>
    <w:uiPriority w:val="0"/>
    <w:rPr>
      <w:color w:val="000080"/>
      <w:u w:val="single"/>
    </w:rPr>
  </w:style>
  <w:style w:type="character" w:customStyle="1" w:styleId="230">
    <w:name w:val="Menção Pendente2"/>
    <w:basedOn w:val="9"/>
    <w:unhideWhenUsed/>
    <w:qFormat/>
    <w:uiPriority w:val="0"/>
    <w:rPr>
      <w:color w:val="605E5C"/>
      <w:shd w:val="clear" w:color="auto" w:fill="E1DFDD"/>
    </w:rPr>
  </w:style>
  <w:style w:type="paragraph" w:customStyle="1" w:styleId="231">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2">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3">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4">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5">
    <w:name w:val="western"/>
    <w:basedOn w:val="1"/>
    <w:qFormat/>
    <w:uiPriority w:val="0"/>
    <w:pPr>
      <w:suppressAutoHyphens/>
      <w:autoSpaceDN w:val="0"/>
      <w:spacing w:before="100" w:after="119"/>
      <w:textAlignment w:val="baseline"/>
    </w:pPr>
    <w:rPr>
      <w:sz w:val="24"/>
      <w:szCs w:val="24"/>
    </w:rPr>
  </w:style>
  <w:style w:type="paragraph" w:customStyle="1" w:styleId="236">
    <w:name w:val="msonormal"/>
    <w:basedOn w:val="1"/>
    <w:qFormat/>
    <w:uiPriority w:val="0"/>
    <w:pPr>
      <w:spacing w:before="100" w:beforeAutospacing="1" w:after="100" w:afterAutospacing="1"/>
    </w:pPr>
    <w:rPr>
      <w:sz w:val="24"/>
      <w:szCs w:val="24"/>
    </w:rPr>
  </w:style>
  <w:style w:type="paragraph" w:customStyle="1" w:styleId="237">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0">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2">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4">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5">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6">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7">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8">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50">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1">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2">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3">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5">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6">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8">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9">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1">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2">
    <w:name w:val="xl89"/>
    <w:basedOn w:val="1"/>
    <w:qFormat/>
    <w:uiPriority w:val="0"/>
    <w:pPr>
      <w:spacing w:before="100" w:beforeAutospacing="1" w:after="100" w:afterAutospacing="1"/>
      <w:jc w:val="center"/>
    </w:pPr>
    <w:rPr>
      <w:sz w:val="24"/>
      <w:szCs w:val="24"/>
    </w:rPr>
  </w:style>
  <w:style w:type="paragraph" w:customStyle="1" w:styleId="263">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4">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6">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7">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9">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70">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2">
    <w:name w:val="Normal11"/>
    <w:qFormat/>
    <w:uiPriority w:val="0"/>
    <w:pPr>
      <w:widowControl w:val="0"/>
    </w:pPr>
    <w:rPr>
      <w:rFonts w:ascii="Calibri" w:hAnsi="Calibri" w:eastAsia="Calibri" w:cs="Calibri"/>
      <w:sz w:val="22"/>
      <w:szCs w:val="22"/>
      <w:lang w:val="pt-BR" w:eastAsia="pt-BR" w:bidi="ar-SA"/>
    </w:rPr>
  </w:style>
  <w:style w:type="paragraph" w:customStyle="1" w:styleId="273">
    <w:name w:val="Normal2"/>
    <w:qFormat/>
    <w:uiPriority w:val="0"/>
    <w:pPr>
      <w:widowControl w:val="0"/>
    </w:pPr>
    <w:rPr>
      <w:rFonts w:ascii="Calibri" w:hAnsi="Calibri" w:eastAsia="Calibri" w:cs="Calibri"/>
      <w:sz w:val="22"/>
      <w:szCs w:val="22"/>
      <w:lang w:val="pt-BR" w:eastAsia="pt-BR" w:bidi="ar-SA"/>
    </w:r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 w:type="table" w:customStyle="1" w:styleId="275">
    <w:name w:val="_Style 14"/>
    <w:basedOn w:val="45"/>
    <w:qFormat/>
    <w:uiPriority w:val="0"/>
    <w:rPr>
      <w:rFonts w:eastAsia="SimSun"/>
    </w:rPr>
    <w:tblPr>
      <w:tblCellMar>
        <w:left w:w="108" w:type="dxa"/>
        <w:right w:w="108" w:type="dxa"/>
      </w:tblCellMar>
    </w:tblPr>
  </w:style>
  <w:style w:type="table" w:customStyle="1" w:styleId="276">
    <w:name w:val="_Style 17"/>
    <w:basedOn w:val="45"/>
    <w:uiPriority w:val="0"/>
    <w:tblPr>
      <w:tblCellMar>
        <w:left w:w="115" w:type="dxa"/>
        <w:right w:w="115" w:type="dxa"/>
      </w:tblCellMar>
    </w:tblPr>
  </w:style>
  <w:style w:type="table" w:customStyle="1" w:styleId="277">
    <w:name w:val="_Style 18"/>
    <w:basedOn w:val="45"/>
    <w:uiPriority w:val="0"/>
    <w:tblPr>
      <w:tblCellMar>
        <w:left w:w="115" w:type="dxa"/>
        <w:right w:w="115" w:type="dxa"/>
      </w:tblCellMar>
    </w:tblPr>
  </w:style>
  <w:style w:type="table" w:customStyle="1" w:styleId="278">
    <w:name w:val="_Style 20"/>
    <w:basedOn w:val="45"/>
    <w:uiPriority w:val="0"/>
    <w:tblPr>
      <w:tblCellMar>
        <w:left w:w="115" w:type="dxa"/>
        <w:right w:w="115" w:type="dxa"/>
      </w:tblCellMar>
    </w:tblPr>
  </w:style>
  <w:style w:type="table" w:customStyle="1" w:styleId="279">
    <w:name w:val="_Style 21"/>
    <w:basedOn w:val="45"/>
    <w:uiPriority w:val="0"/>
    <w:tblPr>
      <w:tblCellMar>
        <w:left w:w="115" w:type="dxa"/>
        <w:right w:w="115" w:type="dxa"/>
      </w:tblCellMar>
    </w:tblPr>
  </w:style>
  <w:style w:type="table" w:customStyle="1" w:styleId="280">
    <w:name w:val="_Style 22"/>
    <w:basedOn w:val="45"/>
    <w:uiPriority w:val="0"/>
    <w:tblPr>
      <w:tblCellMar>
        <w:left w:w="115" w:type="dxa"/>
        <w:right w:w="115" w:type="dxa"/>
      </w:tblCellMar>
    </w:tblPr>
  </w:style>
  <w:style w:type="table" w:customStyle="1" w:styleId="281">
    <w:name w:val="_Style 23"/>
    <w:basedOn w:val="45"/>
    <w:uiPriority w:val="0"/>
    <w:tblPr>
      <w:tblCellMar>
        <w:left w:w="70" w:type="dxa"/>
        <w:right w:w="70" w:type="dxa"/>
      </w:tblCellMar>
    </w:tblPr>
  </w:style>
  <w:style w:type="paragraph" w:customStyle="1" w:styleId="282">
    <w:name w:val="Revisão1"/>
    <w:hidden/>
    <w:semiHidden/>
    <w:qFormat/>
    <w:uiPriority w:val="99"/>
    <w:rPr>
      <w:rFonts w:ascii="Times New Roman" w:hAnsi="Times New Roman" w:eastAsia="Times New Roman" w:cs="Times New Roman"/>
      <w:sz w:val="24"/>
      <w:szCs w:val="24"/>
      <w:lang w:val="pt-BR" w:eastAsia="pt-BR" w:bidi="ar-SA"/>
    </w:rPr>
  </w:style>
  <w:style w:type="table" w:customStyle="1" w:styleId="283">
    <w:name w:val="_Style 136"/>
    <w:basedOn w:val="45"/>
    <w:qFormat/>
    <w:uiPriority w:val="0"/>
    <w:rPr>
      <w:rFonts w:ascii="Aptos" w:hAnsi="Aptos" w:eastAsia="Aptos" w:cs="Aptos"/>
    </w:rPr>
    <w:tblPr>
      <w:tblCellMar>
        <w:left w:w="108"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29BE9FC2-1AC1-4303-83B6-1A9A4A009F92}">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91</Pages>
  <Words>2914</Words>
  <Characters>16214</Characters>
  <Lines>1248</Lines>
  <Paragraphs>354</Paragraphs>
  <TotalTime>6</TotalTime>
  <ScaleCrop>false</ScaleCrop>
  <LinksUpToDate>false</LinksUpToDate>
  <CharactersWithSpaces>19082</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2026-04-15T16:56:00Z</dcterms:created>
  <dc:creator>Sabrina Guimarães</dc:creator>
  <cp:lastModifiedBy>licitacao04</cp:lastModifiedBy>
  <cp:lastPrinted>2025-09-19T17:36:00Z</cp:lastPrinted>
  <dcterms:modified xsi:type="dcterms:W3CDTF">2026-04-29T10:44:01Z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eyJoZGlkIjoiODk5ZDUzODY0MzRjZDU1MTZjNjdmZjFjZGJkZmQ3NTUifQ==</vt:lpwstr>
  </property>
  <property fmtid="{D5CDD505-2E9C-101B-9397-08002B2CF9AE}" pid="3" name="KSOProductBuildVer">
    <vt:lpwstr>1046-12.1.0.25242</vt:lpwstr>
  </property>
  <property fmtid="{D5CDD505-2E9C-101B-9397-08002B2CF9AE}" pid="4" name="ICV">
    <vt:lpwstr>E582FFAF17A84EE19234E4EE20D1C28C_13</vt:lpwstr>
  </property>
</Properties>
</file>